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lineRule="auto" w:line="360" w:before="0" w:after="280"/>
        <w:ind w:end="-648"/>
        <w:jc w:val="center"/>
        <w:rPr>
          <w:b/>
          <w:bCs/>
        </w:rPr>
      </w:pPr>
      <w:r>
        <w:rPr>
          <w:b/>
          <w:bCs/>
        </w:rPr>
        <w:t>Тема 2.Търговско посредничество при сделки с НИ</w:t>
      </w:r>
    </w:p>
    <w:p>
      <w:pPr>
        <w:pStyle w:val="Normal"/>
        <w:spacing w:lineRule="auto" w:line="360"/>
        <w:ind w:start="360" w:end="-360"/>
        <w:jc w:val="center"/>
        <w:rPr>
          <w:b/>
          <w:bCs/>
        </w:rPr>
      </w:pPr>
      <w:r>
        <w:rPr>
          <w:b/>
          <w:bCs/>
        </w:rPr>
      </w:r>
    </w:p>
    <w:p>
      <w:pPr>
        <w:pStyle w:val="Normal"/>
        <w:spacing w:lineRule="auto" w:line="360"/>
        <w:jc w:val="center"/>
        <w:rPr>
          <w:u w:val="single"/>
        </w:rPr>
      </w:pPr>
      <w:r>
        <w:rPr>
          <w:u w:val="single"/>
        </w:rPr>
        <w:t xml:space="preserve">2.1. Субекти, участващи в сделките с НИ </w:t>
      </w:r>
    </w:p>
    <w:p>
      <w:pPr>
        <w:pStyle w:val="NormalWeb"/>
        <w:spacing w:lineRule="auto" w:line="360" w:before="280" w:after="0"/>
        <w:jc w:val="both"/>
        <w:rPr/>
      </w:pPr>
      <w:r>
        <w:rPr/>
        <w:tab/>
        <w:t>Субектите участващи в сделките, извършвани на пазара на НИ са: продавачите, посредниците /АНИ, брокерско-финансова къша, брокер и др./ и купувачите.</w:t>
      </w:r>
    </w:p>
    <w:p>
      <w:pPr>
        <w:pStyle w:val="NormalWeb"/>
        <w:spacing w:lineRule="auto" w:line="360" w:before="280" w:after="0"/>
        <w:jc w:val="both"/>
        <w:rPr/>
      </w:pPr>
      <w:r>
        <w:rPr/>
        <w:tab/>
      </w:r>
      <w:r>
        <w:rPr>
          <w:u w:val="single"/>
        </w:rPr>
        <w:t>Продавачът</w:t>
      </w:r>
      <w:r>
        <w:rPr/>
        <w:t xml:space="preserve"> на недвижимото имущество може да бъде физическо или юридическо </w:t>
      </w:r>
      <w:hyperlink r:id="rId2">
        <w:r>
          <w:rPr>
            <w:rStyle w:val="Hyperlink"/>
            <w:color w:val="000000"/>
            <w:u w:val="none"/>
          </w:rPr>
          <w:t>лице</w:t>
        </w:r>
      </w:hyperlink>
      <w:r>
        <w:rPr/>
        <w:t xml:space="preserve">, което е собственик на това имущество или е оторизиран от него изпълнител на волята му да предостави доброволно или на възмездна основа </w:t>
      </w:r>
      <w:hyperlink r:id="rId3" w:tgtFrame="_blank">
        <w:r>
          <w:rPr>
            <w:rStyle w:val="Hyperlink"/>
            <w:color w:val="000000"/>
            <w:u w:val="none"/>
          </w:rPr>
          <w:t>право</w:t>
        </w:r>
      </w:hyperlink>
      <w:r>
        <w:rPr/>
        <w:t>то на ползване, владеене и разпореждане с имот на друго лице. Представляването на продавача става с ноториално заверено пълномощно. Когато продавачът е колектив, сдружение или кооперация /юридическо лице/ тогава той се представлява от колективния орган за управление, чрез избрано от него лице /Управител,Председател/, вписано в учредителния протокол на сдружението или кооперацията. Лицето, представляващо дадено юридическо лице трябва да има протокол от общото събрание, упълномощаващо го да извършва сделки с НИ.</w:t>
      </w:r>
    </w:p>
    <w:p>
      <w:pPr>
        <w:pStyle w:val="NormalWeb"/>
        <w:spacing w:lineRule="auto" w:line="360" w:before="280" w:after="0"/>
        <w:jc w:val="both"/>
        <w:rPr/>
      </w:pPr>
      <w:r>
        <w:rPr/>
        <w:tab/>
      </w:r>
      <w:r>
        <w:rPr>
          <w:u w:val="single"/>
        </w:rPr>
        <w:t xml:space="preserve">Купувачът </w:t>
      </w:r>
      <w:r>
        <w:rPr/>
        <w:t>на недвижимо имущество е физическо или юридическо лице или оторизиран от него изпълнител на волята му, който доброволно и на възмездна основа получава права на ползване, владеене и разпореждане с НИ. Представляването на купувача също става с нотариално заверено пълномощно. При сделките с недвижимо имущество колективните собственици се представляват от колективния орган за управление, само ако с учредителен акт са му предоставени такива права. След покупката закупената НС става колективна. Според клаузите, включени в учредителния акт при смърт на някои от членовете на колектива, дяловото му участие в собствеността преминава в собственост на другите живи членове на колектива или на неговите наследници.</w:t>
      </w:r>
    </w:p>
    <w:p>
      <w:pPr>
        <w:pStyle w:val="NormalWeb"/>
        <w:spacing w:lineRule="auto" w:line="360" w:before="280" w:after="0"/>
        <w:jc w:val="both"/>
        <w:rPr/>
      </w:pPr>
      <w:r>
        <w:rPr/>
        <w:tab/>
        <w:t xml:space="preserve">Потенциалните купувачи, както и продавачите, които са основните фигури при осъществяване на сделката, често пъти нямат съответните познания </w:t>
      </w:r>
    </w:p>
    <w:p>
      <w:pPr>
        <w:pStyle w:val="NormalWeb"/>
        <w:spacing w:lineRule="auto" w:line="360" w:before="280" w:after="0"/>
        <w:jc w:val="both"/>
        <w:rPr/>
      </w:pPr>
      <w:r>
        <w:rPr/>
        <w:t xml:space="preserve">или просто не желаят да се ангажират с осъществяването на сделката, за да спестят собственото си време и труд. В този случай е целесъобразна проявата на </w:t>
      </w:r>
      <w:r>
        <w:rPr>
          <w:u w:val="single"/>
        </w:rPr>
        <w:t>търговския посредник</w:t>
      </w:r>
      <w:r>
        <w:rPr/>
        <w:t>. През последните години у нас бяха създадени много фирми с предмет на дейност покупко-продажба на НИ под най-различни наименования –АНИ, бюра,кантори и др. Общият им брой продължава да расте. Освен стопанските субекти съществуват и голям брой физически лица, самостоятелно занимаващи се с тази дейност – най-често бивши и настоящи адвокати. Изследванията показват, че в развитите страни – САЩ, Англия,Канада,Австралия и др. около 25% от трудоспособното население/ общо над 140 млн.души/е заето в сделки с НИ. През последните години в САЩ един брокер на НИ се е падал на 400 души от населението /общо над 300 млн.души/.</w:t>
      </w:r>
    </w:p>
    <w:p>
      <w:pPr>
        <w:pStyle w:val="NormalWeb"/>
        <w:spacing w:lineRule="auto" w:line="360" w:before="280" w:after="0"/>
        <w:jc w:val="both"/>
        <w:rPr/>
      </w:pPr>
      <w:r>
        <w:rPr/>
        <w:tab/>
      </w:r>
      <w:r>
        <w:rPr>
          <w:u w:val="single"/>
        </w:rPr>
        <w:t>Посредничеството при сделките с НИ</w:t>
      </w:r>
      <w:r>
        <w:rPr/>
        <w:t xml:space="preserve"> представлява вид търговска дейност, улесняваща извършването на търговски сделки, а посредникът е лице, което по занятие създава условия за сключване на търговски сделки. Посредническата дейност има за предмет извършване на услуга, която </w:t>
      </w:r>
      <w:r>
        <w:rPr>
          <w:u w:val="single"/>
        </w:rPr>
        <w:t>няма правен характер,</w:t>
      </w:r>
      <w:r>
        <w:rPr/>
        <w:t xml:space="preserve"> тъй като посредникът не извършва правни, а фактически действия -  издирва евентуален съконтрагент, запознава го с условията на сделката, установява </w:t>
      </w:r>
      <w:hyperlink r:id="rId4">
        <w:r>
          <w:rPr>
            <w:rStyle w:val="Hyperlink"/>
            <w:color w:val="000000"/>
            <w:u w:val="none"/>
          </w:rPr>
          <w:t>контакт</w:t>
        </w:r>
      </w:hyperlink>
      <w:r>
        <w:rPr/>
        <w:t xml:space="preserve"> с бъдещите контрагенти. </w:t>
      </w:r>
      <w:r>
        <w:rPr>
          <w:u w:val="single"/>
        </w:rPr>
        <w:t>Действията на посредника са насочени към създаване на условия за извършване на правна сделка и имат материален или интелектуален характер.</w:t>
      </w:r>
    </w:p>
    <w:p>
      <w:pPr>
        <w:pStyle w:val="NormalWeb"/>
        <w:spacing w:lineRule="auto" w:line="360" w:before="280" w:after="0"/>
        <w:jc w:val="both"/>
        <w:rPr/>
      </w:pPr>
      <w:r>
        <w:rPr/>
        <w:tab/>
        <w:tab/>
      </w:r>
      <w:r>
        <w:rPr>
          <w:u w:val="single"/>
        </w:rPr>
        <w:t>2.2. Видове посредници и операции при сделките с НИ</w:t>
      </w:r>
    </w:p>
    <w:p>
      <w:pPr>
        <w:pStyle w:val="Normal"/>
        <w:spacing w:lineRule="auto" w:line="360"/>
        <w:ind w:start="360" w:end="-360"/>
        <w:jc w:val="center"/>
        <w:rPr>
          <w:u w:val="single"/>
        </w:rPr>
      </w:pPr>
      <w:r>
        <w:rPr>
          <w:u w:val="single"/>
        </w:rPr>
        <w:t>2.2.1. Търговски посредник</w:t>
      </w:r>
    </w:p>
    <w:p>
      <w:pPr>
        <w:pStyle w:val="Normal"/>
        <w:spacing w:lineRule="auto" w:line="360" w:before="280" w:after="280"/>
        <w:ind w:end="72"/>
        <w:jc w:val="both"/>
        <w:rPr/>
      </w:pPr>
      <w:r>
        <w:rPr/>
        <w:tab/>
      </w:r>
      <w:r>
        <w:rPr>
          <w:u w:val="single"/>
        </w:rPr>
        <w:t>Търговският посредник</w:t>
      </w:r>
      <w:r>
        <w:rPr>
          <w:rStyle w:val="c7"/>
        </w:rPr>
        <w:t xml:space="preserve"> е търговец, които по занятие посредничи за сключване на сделки</w:t>
      </w:r>
      <w:r>
        <w:rPr>
          <w:rStyle w:val="FootnoteCharacters"/>
          <w:rStyle w:val="FootnoteReference"/>
        </w:rPr>
        <w:footnoteReference w:id="2"/>
      </w:r>
      <w:r>
        <w:rPr>
          <w:rStyle w:val="c7"/>
        </w:rPr>
        <w:t xml:space="preserve">. </w:t>
      </w:r>
    </w:p>
    <w:p>
      <w:pPr>
        <w:pStyle w:val="Normal"/>
        <w:spacing w:lineRule="auto" w:line="360" w:before="280" w:after="280"/>
        <w:ind w:end="72"/>
        <w:jc w:val="both"/>
        <w:rPr/>
      </w:pPr>
      <w:r>
        <w:rPr>
          <w:rStyle w:val="c7"/>
        </w:rPr>
        <w:tab/>
      </w:r>
      <w:r>
        <w:rPr/>
        <w:t>Характерните  белези на търговския посредник са следните:</w:t>
      </w:r>
    </w:p>
    <w:p>
      <w:pPr>
        <w:pStyle w:val="Normal"/>
        <w:spacing w:lineRule="auto" w:line="360"/>
        <w:ind w:end="72"/>
        <w:jc w:val="both"/>
        <w:rPr>
          <w:rStyle w:val="c7"/>
          <w:i/>
          <w:i/>
          <w:iCs/>
        </w:rPr>
      </w:pPr>
      <w:r>
        <w:rPr/>
        <w:t>          </w:t>
      </w:r>
      <w:r>
        <w:rPr>
          <w:rFonts w:eastAsia="Times New Roman"/>
        </w:rPr>
        <w:t xml:space="preserve"> </w:t>
      </w:r>
      <w:r>
        <w:rPr/>
        <w:t xml:space="preserve">- той е търговец с особен предмет на дейност, </w:t>
      </w:r>
      <w:r>
        <w:rPr>
          <w:rStyle w:val="c7"/>
        </w:rPr>
        <w:t>който се изразява в посредничество, насочено към сключване на търговски сделки;</w:t>
      </w:r>
      <w:r>
        <w:rPr/>
        <w:t xml:space="preserve"> </w:t>
      </w:r>
    </w:p>
    <w:p>
      <w:pPr>
        <w:pStyle w:val="Normal"/>
        <w:spacing w:lineRule="auto" w:line="360"/>
        <w:ind w:end="72"/>
        <w:jc w:val="both"/>
        <w:rPr/>
      </w:pPr>
      <w:r>
        <w:rPr>
          <w:rStyle w:val="c7"/>
          <w:rFonts w:eastAsia="Times New Roman"/>
          <w:i/>
          <w:iCs/>
        </w:rPr>
        <w:t xml:space="preserve">            </w:t>
      </w:r>
      <w:r>
        <w:rPr>
          <w:rStyle w:val="c7"/>
          <w:i/>
          <w:iCs/>
        </w:rPr>
        <w:t xml:space="preserve">-  </w:t>
      </w:r>
      <w:r>
        <w:rPr>
          <w:rStyle w:val="c7"/>
        </w:rPr>
        <w:t>търговският посредник не действа при сключването на сделката нито от свое, нито от чуждо име. Има двойнствена функция - работи и за двете страни, като е задължен да запази неутралитет и носи отговорност спрямо двете страни за настъпилите по негова вина вреди.</w:t>
      </w:r>
      <w:r>
        <w:rPr/>
        <w:t xml:space="preserve"> Той е задължен да положи усилията на добър търговец, но ако не успее да постигне желан резултат, това не е неизпълнение на договорните му задължения;</w:t>
      </w:r>
    </w:p>
    <w:p>
      <w:pPr>
        <w:pStyle w:val="Normal"/>
        <w:spacing w:lineRule="auto" w:line="360" w:before="280" w:after="280"/>
        <w:ind w:end="72"/>
        <w:jc w:val="both"/>
        <w:rPr/>
      </w:pPr>
      <w:r>
        <w:rPr/>
        <w:tab/>
        <w:t>- основната търговска сделка, извършвана от търговския посредник е договора за посредничество. Договорът за търговско посредничество е неформален, двустранен, консенсуален и възмезден;</w:t>
      </w:r>
    </w:p>
    <w:p>
      <w:pPr>
        <w:pStyle w:val="Normal"/>
        <w:spacing w:lineRule="auto" w:line="360" w:before="280" w:after="280"/>
        <w:ind w:end="72"/>
        <w:jc w:val="both"/>
        <w:rPr/>
      </w:pPr>
      <w:r>
        <w:rPr/>
        <w:tab/>
        <w:t>- търговският посредник действа срещу възнаграждение.</w:t>
      </w:r>
      <w:r>
        <w:rPr>
          <w:rStyle w:val="c7"/>
        </w:rPr>
        <w:t xml:space="preserve"> Възнаграждение се дължи само при сключена сделка, която е в предмета на договора за посредничество.</w:t>
      </w:r>
      <w:r>
        <w:rPr>
          <w:rStyle w:val="Emphasis"/>
        </w:rPr>
        <w:t xml:space="preserve"> </w:t>
      </w:r>
      <w:r>
        <w:rPr>
          <w:rStyle w:val="Emphasis"/>
          <w:i w:val="false"/>
          <w:iCs w:val="false"/>
        </w:rPr>
        <w:t>Търговският посредник има право на възнаграждение, което се дължи от едната или от двете страни съобразно уговорката им</w:t>
      </w:r>
      <w:r>
        <w:rPr>
          <w:i/>
          <w:iCs/>
        </w:rPr>
        <w:t xml:space="preserve">. </w:t>
      </w:r>
      <w:r>
        <w:rPr>
          <w:rStyle w:val="Emphasis"/>
          <w:i w:val="false"/>
          <w:iCs w:val="false"/>
        </w:rPr>
        <w:t>Ако няма уговорка, дължи се обичайното възнаграждение за този вид дейност според случая и от двете страни</w:t>
      </w:r>
      <w:r>
        <w:rPr>
          <w:i/>
          <w:iCs/>
        </w:rPr>
        <w:t xml:space="preserve">. </w:t>
      </w:r>
      <w:r>
        <w:rPr>
          <w:rStyle w:val="c7"/>
        </w:rPr>
        <w:t>Дори да не е уговорено в договора възнаграждение, то се дължи съобразно обичайния размер за съответната посредническа дейност.</w:t>
      </w:r>
    </w:p>
    <w:p>
      <w:pPr>
        <w:pStyle w:val="NormalWeb"/>
        <w:spacing w:lineRule="auto" w:line="360" w:before="280" w:after="0"/>
        <w:jc w:val="center"/>
        <w:rPr/>
      </w:pPr>
      <w:r>
        <w:rPr>
          <w:u w:val="single"/>
        </w:rPr>
        <w:t>2.2.2.  А Н И</w:t>
      </w:r>
      <w:r>
        <w:rPr>
          <w:i/>
          <w:iCs/>
          <w:u w:val="single"/>
        </w:rPr>
        <w:t xml:space="preserve"> - </w:t>
      </w:r>
      <w:r>
        <w:rPr>
          <w:u w:val="single"/>
        </w:rPr>
        <w:t>основен субект на пазара с НИ</w:t>
      </w:r>
    </w:p>
    <w:p>
      <w:pPr>
        <w:pStyle w:val="Normal"/>
        <w:spacing w:lineRule="auto" w:line="360"/>
        <w:ind w:end="-108"/>
        <w:jc w:val="both"/>
        <w:rPr>
          <w:u w:val="single"/>
        </w:rPr>
      </w:pPr>
      <w:r>
        <w:rPr>
          <w:u w:val="single"/>
        </w:rPr>
      </w:r>
    </w:p>
    <w:p>
      <w:pPr>
        <w:pStyle w:val="Normal"/>
        <w:spacing w:lineRule="auto" w:line="360"/>
        <w:ind w:end="-108"/>
        <w:jc w:val="both"/>
        <w:rPr/>
      </w:pPr>
      <w:r>
        <w:rPr/>
        <w:tab/>
        <w:t>На пазара на НИ посредничеството се налага от специфичните особености на стоката - НИ и необходимостта от специализирани знания и информация в тази област. Потенциалните купувачи и продавачи, които са основните субекти при осъществяване на сделката, в повечето случаи не притежават такива познания и не могат самостоятелно да вземат правилно инвестиционно решение.</w:t>
      </w:r>
      <w:r>
        <w:rPr>
          <w:b/>
          <w:bCs/>
        </w:rPr>
        <w:t xml:space="preserve"> </w:t>
      </w:r>
      <w:r>
        <w:rPr/>
        <w:t>Както на повечето пазари /финансови, търговски, застрахователни и др./ това налага необходимостта от посредник. Обикновено те възлагат изпълнението на сделката на търговския посредник. Професионално реализираната посредническа услуга гарантира инвестиционния интерес на субекта. Реализирането на правни сделки на пазара на НИ е технология, която е регламентирана от законодателя и не създава практическа възможност да се реализира индивидуално от участващите субекти на пазара. При изпълнението на тази процедура са включени държавни и общински звена, данъчни служби, нотариуси и служби по вписванията.</w:t>
      </w:r>
    </w:p>
    <w:p>
      <w:pPr>
        <w:pStyle w:val="NormalWeb"/>
        <w:spacing w:lineRule="auto" w:line="360" w:before="280" w:after="0"/>
        <w:jc w:val="both"/>
        <w:rPr>
          <w:b/>
          <w:bCs/>
          <w:u w:val="single"/>
        </w:rPr>
      </w:pPr>
      <w:r>
        <w:rPr/>
        <w:tab/>
        <w:t xml:space="preserve">В практиката на развитите страни </w:t>
      </w:r>
      <w:r>
        <w:rPr>
          <w:u w:val="single"/>
        </w:rPr>
        <w:t>посредникът</w:t>
      </w:r>
      <w:r>
        <w:rPr/>
        <w:t xml:space="preserve"> е фирма, брокерско-финансова  къща, АНИ</w:t>
      </w:r>
      <w:r>
        <w:rPr>
          <w:b/>
          <w:bCs/>
        </w:rPr>
        <w:t xml:space="preserve">. </w:t>
      </w:r>
    </w:p>
    <w:p>
      <w:pPr>
        <w:pStyle w:val="NormalWeb"/>
        <w:spacing w:lineRule="auto" w:line="360" w:before="280" w:after="0"/>
        <w:jc w:val="both"/>
        <w:rPr/>
      </w:pPr>
      <w:r>
        <w:rPr>
          <w:b/>
          <w:bCs/>
        </w:rPr>
        <w:tab/>
      </w:r>
      <w:r>
        <w:rPr>
          <w:u w:val="single"/>
        </w:rPr>
        <w:t xml:space="preserve">Основен субект </w:t>
      </w:r>
      <w:r>
        <w:rPr/>
        <w:t>на пазара с НИ</w:t>
      </w:r>
      <w:r>
        <w:rPr>
          <w:b/>
          <w:bCs/>
        </w:rPr>
        <w:t xml:space="preserve"> </w:t>
      </w:r>
      <w:r>
        <w:rPr/>
        <w:t xml:space="preserve">е </w:t>
      </w:r>
      <w:r>
        <w:rPr>
          <w:u w:val="single"/>
        </w:rPr>
        <w:t>АНИ</w:t>
      </w:r>
      <w:r>
        <w:rPr/>
        <w:t xml:space="preserve">.  По същество тя е вид търговец, който по занятие извършва търговски посреднически сделки с НИ - посредничество при покупко- продажбата на НИ и при отдаването им под наем. </w:t>
      </w:r>
    </w:p>
    <w:p>
      <w:pPr>
        <w:pStyle w:val="NormalWeb"/>
        <w:spacing w:lineRule="auto" w:line="360" w:before="280" w:after="0"/>
        <w:jc w:val="both"/>
        <w:rPr/>
      </w:pPr>
      <w:r>
        <w:rPr/>
        <w:tab/>
        <w:t>За да се защитават и гарантират интересите на клиентите на АНИ е целесъобразно:</w:t>
      </w:r>
    </w:p>
    <w:p>
      <w:pPr>
        <w:pStyle w:val="NormalWeb"/>
        <w:spacing w:lineRule="auto" w:line="360" w:before="280" w:after="0"/>
        <w:jc w:val="both"/>
        <w:rPr/>
      </w:pPr>
      <w:r>
        <w:rPr/>
        <w:tab/>
        <w:tab/>
        <w:t>а/ тя да се изгражда като капиталово търговско дружество с определена капиталова адекватност</w:t>
      </w:r>
      <w:r>
        <w:rPr>
          <w:rStyle w:val="FootnoteCharacters"/>
          <w:rStyle w:val="FootnoteReference"/>
        </w:rPr>
        <w:footnoteReference w:id="3"/>
      </w:r>
      <w:r>
        <w:rPr/>
        <w:t>;</w:t>
      </w:r>
    </w:p>
    <w:p>
      <w:pPr>
        <w:pStyle w:val="NormalWeb"/>
        <w:spacing w:lineRule="auto" w:line="360" w:before="280" w:after="0"/>
        <w:jc w:val="both"/>
        <w:rPr/>
      </w:pPr>
      <w:r>
        <w:rPr/>
        <w:tab/>
        <w:tab/>
        <w:t>б/ да се лицензира като търговец, осъществяващ сделки с НИ от определен правителствен орган.</w:t>
      </w:r>
    </w:p>
    <w:p>
      <w:pPr>
        <w:pStyle w:val="NormalWeb"/>
        <w:spacing w:lineRule="auto" w:line="360" w:before="280" w:after="0"/>
        <w:jc w:val="both"/>
        <w:rPr/>
      </w:pPr>
      <w:r>
        <w:rPr/>
        <w:tab/>
        <w:t xml:space="preserve">Персоналът на АНИ следва да се състои предимно от лицензирани брокери и прависти. </w:t>
      </w:r>
    </w:p>
    <w:p>
      <w:pPr>
        <w:pStyle w:val="Normal"/>
        <w:spacing w:lineRule="auto" w:line="360"/>
        <w:ind w:end="-108"/>
        <w:jc w:val="both"/>
        <w:rPr/>
      </w:pPr>
      <w:r>
        <w:rPr/>
        <w:tab/>
        <w:t>АНИ /правен субект – юридическо лице/ се явява посредник, т.е. представител на една от страните, участващи в сделката с НИ</w:t>
      </w:r>
      <w:r>
        <w:rPr>
          <w:i/>
          <w:iCs/>
        </w:rPr>
        <w:t xml:space="preserve">. </w:t>
      </w:r>
      <w:r>
        <w:rPr/>
        <w:t>Посредническата дейност се осъществява, когато клиентът /продавач или купувач/ е предоставил на АНИ изключително право на представителство чрез поръчка или посреднически договор. В този случай агенцията за сметка на клиента осъществява сделка с  НИ при фиксирана цена и срок. Срещу определено заплащане от страна на клиента /доверител/ на основата на сключен комисионен договор агенцията извършва подготовката и реализирането на сделката с обекта на НС. За извършената дейност АНИ получава комисионна. Агенцията взема комисионна и от двете страни, когато ги представлява. Комисионната такса за различните АНИ е различна. Размерът на комисионната се договаря обикновено</w:t>
      </w:r>
      <w:r>
        <w:rPr>
          <w:i/>
          <w:iCs/>
        </w:rPr>
        <w:t xml:space="preserve"> </w:t>
      </w:r>
      <w:r>
        <w:rPr/>
        <w:t xml:space="preserve">като  % от стойността на НИ. </w:t>
      </w:r>
    </w:p>
    <w:p>
      <w:pPr>
        <w:pStyle w:val="Normal"/>
        <w:spacing w:lineRule="auto" w:line="360"/>
        <w:ind w:firstLine="528" w:end="-108"/>
        <w:jc w:val="both"/>
        <w:rPr/>
      </w:pPr>
      <w:r>
        <w:rPr>
          <w:rFonts w:eastAsia="Times New Roman"/>
        </w:rPr>
        <w:t xml:space="preserve">   </w:t>
      </w:r>
      <w:r>
        <w:rPr/>
        <w:t>АНИ са обединени в браншова организация /Националното сдружение за недвижими имоти/.  Целта на националното сдружение е:</w:t>
      </w:r>
    </w:p>
    <w:p>
      <w:pPr>
        <w:pStyle w:val="Normal"/>
        <w:numPr>
          <w:ilvl w:val="0"/>
          <w:numId w:val="13"/>
        </w:numPr>
        <w:spacing w:lineRule="auto" w:line="360"/>
        <w:ind w:firstLine="540" w:start="720" w:end="-108"/>
        <w:jc w:val="both"/>
        <w:rPr/>
      </w:pPr>
      <w:r>
        <w:rPr/>
        <w:t>да защитава интересите на посредниците в сделките с НИ;</w:t>
      </w:r>
    </w:p>
    <w:p>
      <w:pPr>
        <w:pStyle w:val="Normal"/>
        <w:numPr>
          <w:ilvl w:val="0"/>
          <w:numId w:val="13"/>
        </w:numPr>
        <w:spacing w:lineRule="auto" w:line="360"/>
        <w:ind w:firstLine="540" w:start="720" w:end="-108"/>
        <w:jc w:val="both"/>
        <w:rPr/>
      </w:pPr>
      <w:r>
        <w:rPr>
          <w:rFonts w:eastAsia="Times New Roman"/>
        </w:rPr>
        <w:t xml:space="preserve"> </w:t>
      </w:r>
      <w:r>
        <w:rPr/>
        <w:t>да унифицира критериите за работа;</w:t>
      </w:r>
    </w:p>
    <w:p>
      <w:pPr>
        <w:pStyle w:val="Normal"/>
        <w:numPr>
          <w:ilvl w:val="0"/>
          <w:numId w:val="13"/>
        </w:numPr>
        <w:tabs>
          <w:tab w:val="clear" w:pos="708"/>
        </w:tabs>
        <w:spacing w:lineRule="auto" w:line="360"/>
        <w:ind w:firstLine="1260" w:start="0" w:end="-108"/>
        <w:jc w:val="both"/>
        <w:rPr/>
      </w:pPr>
      <w:r>
        <w:rPr>
          <w:rFonts w:eastAsia="Times New Roman"/>
        </w:rPr>
        <w:t xml:space="preserve"> </w:t>
      </w:r>
      <w:r>
        <w:rPr/>
        <w:t xml:space="preserve">да осигури нормативното регламентиране на посредника в областта на НИ; </w:t>
      </w:r>
    </w:p>
    <w:p>
      <w:pPr>
        <w:pStyle w:val="Normal"/>
        <w:numPr>
          <w:ilvl w:val="0"/>
          <w:numId w:val="13"/>
        </w:numPr>
        <w:tabs>
          <w:tab w:val="clear" w:pos="708"/>
        </w:tabs>
        <w:spacing w:lineRule="auto" w:line="360"/>
        <w:ind w:firstLine="1260" w:start="0" w:end="-108"/>
        <w:jc w:val="both"/>
        <w:rPr>
          <w:b/>
          <w:bCs/>
        </w:rPr>
      </w:pPr>
      <w:r>
        <w:rPr/>
        <w:t>да  съдействат за професионалната защита на своите членове и за защита на потребителите на този вид услуга</w:t>
      </w:r>
      <w:r>
        <w:rPr>
          <w:b/>
          <w:bCs/>
        </w:rPr>
        <w:t xml:space="preserve">. </w:t>
      </w:r>
    </w:p>
    <w:p>
      <w:pPr>
        <w:pStyle w:val="Normal"/>
        <w:spacing w:lineRule="auto" w:line="360"/>
        <w:ind w:end="-108"/>
        <w:jc w:val="both"/>
        <w:rPr/>
      </w:pPr>
      <w:r>
        <w:rPr/>
        <w:tab/>
        <w:t>На  основата на</w:t>
      </w:r>
      <w:r>
        <w:rPr>
          <w:i/>
          <w:iCs/>
        </w:rPr>
        <w:t xml:space="preserve"> </w:t>
      </w:r>
      <w:r>
        <w:rPr/>
        <w:t xml:space="preserve"> сътрудничество между АНИ са  създадени и функционират асоциации на търговците за недвижими имоти: в София /която е член на “Националното сдружение за недвижими имоти”, на американската и европейската асоциации на реалторите и международното сдружение на специалистите от областта на НИ/; във Варна и Бургас. Целта на създаването им е професионалното обслужване на клиентите и гарантиране на реализираните сделки с обекти на НС.</w:t>
      </w:r>
    </w:p>
    <w:p>
      <w:pPr>
        <w:pStyle w:val="Normal"/>
        <w:spacing w:lineRule="auto" w:line="360"/>
        <w:ind w:end="-108"/>
        <w:jc w:val="both"/>
        <w:rPr/>
      </w:pPr>
      <w:r>
        <w:rPr/>
      </w:r>
    </w:p>
    <w:p>
      <w:pPr>
        <w:pStyle w:val="Normal"/>
        <w:spacing w:lineRule="auto" w:line="360"/>
        <w:ind w:end="72"/>
        <w:jc w:val="center"/>
        <w:rPr/>
      </w:pPr>
      <w:r>
        <w:rPr>
          <w:b/>
          <w:bCs/>
        </w:rPr>
        <w:tab/>
      </w:r>
      <w:r>
        <w:rPr>
          <w:u w:val="single"/>
        </w:rPr>
        <w:t xml:space="preserve">2.2.3.Брокери /консултанти по сделки и имоти / </w:t>
      </w:r>
      <w:r>
        <w:rPr>
          <w:i/>
          <w:iCs/>
          <w:u w:val="single"/>
        </w:rPr>
        <w:t xml:space="preserve">- </w:t>
      </w:r>
      <w:r>
        <w:rPr>
          <w:u w:val="single"/>
        </w:rPr>
        <w:t>професионални посредници  на страните при сключване на сделки с недвижими имоти</w:t>
      </w:r>
    </w:p>
    <w:p>
      <w:pPr>
        <w:pStyle w:val="Normal"/>
        <w:spacing w:lineRule="auto" w:line="360"/>
        <w:ind w:end="72"/>
        <w:jc w:val="center"/>
        <w:rPr>
          <w:b/>
          <w:bCs/>
          <w:u w:val="single"/>
        </w:rPr>
      </w:pPr>
      <w:r>
        <w:rPr>
          <w:b/>
          <w:bCs/>
          <w:u w:val="single"/>
        </w:rPr>
      </w:r>
    </w:p>
    <w:p>
      <w:pPr>
        <w:pStyle w:val="Normal"/>
        <w:spacing w:lineRule="auto" w:line="360"/>
        <w:ind w:firstLine="360" w:end="72"/>
        <w:jc w:val="both"/>
        <w:rPr/>
      </w:pPr>
      <w:r>
        <w:rPr/>
        <w:tab/>
        <w:t xml:space="preserve">Появата на професията “брокер” е продиктувана от наложилата се тясна специализация в сферата на професионалното посредничество, свързана със спецификата на  НИ като обект на договаряне. Брокерът се явява следствие и елемент от възраждането на пазарните отношения в областтта на НС, характеризиращи се с: </w:t>
      </w:r>
    </w:p>
    <w:p>
      <w:pPr>
        <w:pStyle w:val="Normal"/>
        <w:numPr>
          <w:ilvl w:val="0"/>
          <w:numId w:val="4"/>
        </w:numPr>
        <w:spacing w:lineRule="auto" w:line="360"/>
        <w:ind w:hanging="525" w:start="885" w:end="72"/>
        <w:jc w:val="both"/>
        <w:rPr/>
      </w:pPr>
      <w:r>
        <w:rPr/>
        <w:t>голяма динамика</w:t>
      </w:r>
      <w:r>
        <w:rPr>
          <w:i/>
          <w:iCs/>
        </w:rPr>
        <w:t xml:space="preserve"> </w:t>
      </w:r>
      <w:r>
        <w:rPr/>
        <w:t>на</w:t>
      </w:r>
      <w:r>
        <w:rPr>
          <w:i/>
          <w:iCs/>
        </w:rPr>
        <w:t xml:space="preserve"> </w:t>
      </w:r>
      <w:r>
        <w:rPr/>
        <w:t>пазара на НИ /разширено предлагане и търсене/;</w:t>
      </w:r>
    </w:p>
    <w:p>
      <w:pPr>
        <w:pStyle w:val="Normal"/>
        <w:numPr>
          <w:ilvl w:val="0"/>
          <w:numId w:val="4"/>
        </w:numPr>
        <w:spacing w:lineRule="auto" w:line="360"/>
        <w:ind w:hanging="525" w:start="885" w:end="72"/>
        <w:jc w:val="both"/>
        <w:rPr/>
      </w:pPr>
      <w:r>
        <w:rPr/>
        <w:t xml:space="preserve">голямо количество пазарна информация, изискваща време и специализация в подхода и методите на проучването и систематизирането й; </w:t>
      </w:r>
    </w:p>
    <w:p>
      <w:pPr>
        <w:pStyle w:val="Normal"/>
        <w:numPr>
          <w:ilvl w:val="0"/>
          <w:numId w:val="4"/>
        </w:numPr>
        <w:spacing w:lineRule="auto" w:line="360"/>
        <w:ind w:hanging="525" w:start="885" w:end="72"/>
        <w:jc w:val="both"/>
        <w:rPr/>
      </w:pPr>
      <w:r>
        <w:rPr/>
        <w:t>необходимост от специални професионални познания за тенденциите на пазара, за оценка на имотите, за  процеса на сключване на сделки с имоти, както и за ограничаване на непрофесионализма и нелоялната конкуренция на пазара на недвижими имоти.</w:t>
      </w:r>
    </w:p>
    <w:p>
      <w:pPr>
        <w:pStyle w:val="NormalWeb"/>
        <w:spacing w:lineRule="auto" w:line="360" w:before="280" w:after="0"/>
        <w:jc w:val="both"/>
        <w:rPr/>
      </w:pPr>
      <w:r>
        <w:rPr/>
        <w:tab/>
        <w:t xml:space="preserve">По същество брокерът е физическо или юридическо лице, което действа като посредник между продавача и купувача. </w:t>
      </w:r>
      <w:r>
        <w:rPr>
          <w:lang w:val="ru-RU"/>
        </w:rPr>
        <w:t>(</w:t>
      </w:r>
      <w:r>
        <w:rPr/>
        <w:t xml:space="preserve">Обикновено </w:t>
      </w:r>
      <w:hyperlink r:id="rId5">
        <w:r>
          <w:rPr>
            <w:rStyle w:val="Hyperlink"/>
            <w:color w:val="000000"/>
            <w:u w:val="none"/>
          </w:rPr>
          <w:t>брокер</w:t>
        </w:r>
      </w:hyperlink>
      <w:r>
        <w:rPr/>
        <w:t>ът се ангажира от продавача на имота, но честа практика е ангажирането на брокер от купувача</w:t>
      </w:r>
      <w:r>
        <w:rPr>
          <w:lang w:val="ru-RU"/>
        </w:rPr>
        <w:t>).</w:t>
      </w:r>
      <w:r>
        <w:rPr/>
        <w:t xml:space="preserve"> За клиент на финансово-брокерска къща, кантора, АНИ се счита този, с когото фирмата е влязла в договорни отношения.</w:t>
      </w:r>
    </w:p>
    <w:p>
      <w:pPr>
        <w:pStyle w:val="Normal"/>
        <w:spacing w:lineRule="auto" w:line="360"/>
        <w:ind w:firstLine="180" w:end="72"/>
        <w:jc w:val="both"/>
        <w:rPr/>
      </w:pPr>
      <w:r>
        <w:rPr/>
        <w:tab/>
        <w:t>Физическо лице може да бъде брокер (самоуправляващо се лице с БУЛСТАТ, тъй като брокерската дейност спада към т. нар. Свободни професии</w:t>
      </w:r>
      <w:r>
        <w:rPr>
          <w:lang w:val="ru-RU"/>
        </w:rPr>
        <w:t>)</w:t>
      </w:r>
      <w:r>
        <w:rPr/>
        <w:t>, да открие брокерска къща и да се занимава с брокерство /посредничество/ само след получаване на лиценз – свидетелство за упражняване на дейността /след успешно завършен специализиран курс в областта на НС, издържан изпит и да притежава сертификат за него/.  У нас този въпрос още не е решен, още не е въведена практика за лицензиране на посредниците при сделки с НИ /в България, няма държавно лицензиране на брокерската дейност. У нас на практика много хора се занимават с посредничество при сделки с имоти, без да са истински професионалисти. Легитимно упражняващите тази дейност би следвало да заплащат патент, или да са регистрирани по Закона за данъка върху добавената стойност търговци, както и да издават документ при получаване на възнаграждение /комисионна/. За гарантиране на интересите на клиентите е необходимо всеки брокер да бъде член на съответната браншова организация на брокерите. Членуването в професионална браншова организация – НСНИ показва сериозност и амбиция за дълготрайно присъствие на пазара./</w:t>
      </w:r>
    </w:p>
    <w:p>
      <w:pPr>
        <w:pStyle w:val="NormalWeb"/>
        <w:spacing w:lineRule="auto" w:line="360" w:before="280" w:after="0"/>
        <w:jc w:val="both"/>
        <w:rPr/>
      </w:pPr>
      <w:r>
        <w:rPr/>
        <w:tab/>
        <w:t xml:space="preserve">За да осъществяват успешно възложените им сделки от клиентите на АНИ освен брокерска правоспособност те </w:t>
      </w:r>
      <w:r>
        <w:rPr>
          <w:u w:val="single"/>
        </w:rPr>
        <w:t>трябва добре да познават</w:t>
      </w:r>
      <w:r>
        <w:rPr/>
        <w:t>:</w:t>
      </w:r>
    </w:p>
    <w:p>
      <w:pPr>
        <w:pStyle w:val="NormalWeb"/>
        <w:numPr>
          <w:ilvl w:val="0"/>
          <w:numId w:val="11"/>
        </w:numPr>
        <w:spacing w:lineRule="auto" w:line="360" w:before="280" w:after="0"/>
        <w:jc w:val="both"/>
        <w:rPr/>
      </w:pPr>
      <w:r>
        <w:rPr/>
        <w:t>пазарът на НИ, на който работят: търсене и пердлагане в сектора и различните му подсегменти и</w:t>
      </w:r>
      <w:r>
        <w:rPr>
          <w:b/>
          <w:bCs/>
          <w:i/>
          <w:iCs/>
        </w:rPr>
        <w:t xml:space="preserve"> </w:t>
      </w:r>
      <w:r>
        <w:rPr/>
        <w:t>факторите, определящи и влияещи върху конюнктурата на пазара с НИ; състояние на инвестициите в НИ; икономическо, политическо и свързано със сестора на НИ положение; парични, кредитни и банкови процеси, свързани съъс сектора;</w:t>
      </w:r>
    </w:p>
    <w:p>
      <w:pPr>
        <w:pStyle w:val="NormalWeb"/>
        <w:numPr>
          <w:ilvl w:val="0"/>
          <w:numId w:val="11"/>
        </w:numPr>
        <w:spacing w:lineRule="auto" w:line="360" w:before="0" w:after="280"/>
        <w:jc w:val="both"/>
        <w:rPr/>
      </w:pPr>
      <w:r>
        <w:rPr/>
        <w:t>маркетинг на НИ: методи и техники за предлагане на различни видове имоти;</w:t>
      </w:r>
    </w:p>
    <w:p>
      <w:pPr>
        <w:pStyle w:val="NormalWeb"/>
        <w:numPr>
          <w:ilvl w:val="0"/>
          <w:numId w:val="7"/>
        </w:numPr>
        <w:spacing w:lineRule="auto" w:line="360" w:before="0" w:after="280"/>
        <w:jc w:val="both"/>
        <w:rPr/>
      </w:pPr>
      <w:r>
        <w:rPr/>
        <w:t>правният аспект по осъществяване на сделките с НИ /национално и европейско право, закони, нормативни актове и стандарти, свързани</w:t>
      </w:r>
      <w:r>
        <w:rPr>
          <w:lang w:val="ru-RU"/>
        </w:rPr>
        <w:t xml:space="preserve"> със сектора, в който работят: градоустройство и реализация на инвестиционни проекти за НИ; принципи и нормативни актове в проектирането и строителството; агентство за НИ; защита на потребителите; мерки срещу изпирането на пари;</w:t>
      </w:r>
      <w:r>
        <w:rPr/>
        <w:t xml:space="preserve">  начинът на финализиране на сделката;</w:t>
      </w:r>
    </w:p>
    <w:p>
      <w:pPr>
        <w:pStyle w:val="NormalWeb"/>
        <w:numPr>
          <w:ilvl w:val="0"/>
          <w:numId w:val="7"/>
        </w:numPr>
        <w:spacing w:lineRule="auto" w:line="360" w:before="0" w:after="280"/>
        <w:jc w:val="both"/>
        <w:rPr/>
      </w:pPr>
      <w:r>
        <w:rPr/>
        <w:t xml:space="preserve">приблизителна оценка за пазарната стойност на имотите: условия за оценяване и методи на оценяване/начинът на ценообразуване на НИ/, различните цели на оценяването; </w:t>
      </w:r>
    </w:p>
    <w:p>
      <w:pPr>
        <w:pStyle w:val="NormalWeb"/>
        <w:numPr>
          <w:ilvl w:val="0"/>
          <w:numId w:val="7"/>
        </w:numPr>
        <w:spacing w:lineRule="auto" w:line="360" w:before="0" w:after="280"/>
        <w:jc w:val="both"/>
        <w:rPr/>
      </w:pPr>
      <w:r>
        <w:rPr/>
        <w:t>сделки с НИ:всички документи, необходими за покупко-продажбата на един имот; технологична посредователност на сделката;</w:t>
      </w:r>
    </w:p>
    <w:p>
      <w:pPr>
        <w:pStyle w:val="NormalWeb"/>
        <w:numPr>
          <w:ilvl w:val="0"/>
          <w:numId w:val="7"/>
        </w:numPr>
        <w:spacing w:lineRule="auto" w:line="360" w:before="0" w:after="280"/>
        <w:jc w:val="both"/>
        <w:rPr/>
      </w:pPr>
      <w:r>
        <w:rPr/>
        <w:t>разходи по сключване на сделката: данъци, местни и нотариални такси, комисионно възнаграждение на посредник, бансови такси и разходи по преводи,  евентуално погасяване на стари задължения /тежести върху имота – ипотека, ВиК, ел.енергия, топлофикация и др./;</w:t>
      </w:r>
    </w:p>
    <w:p>
      <w:pPr>
        <w:pStyle w:val="NormalWeb"/>
        <w:numPr>
          <w:ilvl w:val="0"/>
          <w:numId w:val="7"/>
        </w:numPr>
        <w:spacing w:lineRule="auto" w:line="360" w:before="0" w:after="280"/>
        <w:jc w:val="both"/>
        <w:rPr/>
      </w:pPr>
      <w:r>
        <w:rPr/>
        <w:t>разходи за поддържане на имота:годишни данъци и такси, застраховки; принципи и процес на финансиране на сделка с НИ – законодателство, свързано с ипотеки, кредити и други финансови инструменти; видове ипотеки; администриране на процеса за учредяване и прехвърляне на ипотека;</w:t>
      </w:r>
    </w:p>
    <w:p>
      <w:pPr>
        <w:pStyle w:val="NormalWeb"/>
        <w:numPr>
          <w:ilvl w:val="0"/>
          <w:numId w:val="7"/>
        </w:numPr>
        <w:spacing w:lineRule="auto" w:line="360" w:before="0" w:after="280"/>
        <w:jc w:val="both"/>
        <w:rPr/>
      </w:pPr>
      <w:r>
        <w:rPr/>
        <w:t>строителство и архитектура: видове строителство и основни термини в строителството; нормативни актове в строителството, свързани с продажбата на НИ; разчитане и ползване на архитектурни проекти и скици;</w:t>
      </w:r>
    </w:p>
    <w:p>
      <w:pPr>
        <w:pStyle w:val="NormalWeb"/>
        <w:numPr>
          <w:ilvl w:val="0"/>
          <w:numId w:val="7"/>
        </w:numPr>
        <w:spacing w:lineRule="auto" w:line="360" w:before="0" w:after="280"/>
        <w:jc w:val="both"/>
        <w:rPr/>
      </w:pPr>
      <w:r>
        <w:rPr/>
        <w:t>планът за териториално-селищно устройство на селището, квартално-застроителните планове;</w:t>
      </w:r>
    </w:p>
    <w:p>
      <w:pPr>
        <w:pStyle w:val="NormalWeb"/>
        <w:numPr>
          <w:ilvl w:val="0"/>
          <w:numId w:val="7"/>
        </w:numPr>
        <w:spacing w:lineRule="auto" w:line="360" w:before="0" w:after="280"/>
        <w:jc w:val="both"/>
        <w:rPr/>
      </w:pPr>
      <w:r>
        <w:rPr/>
        <w:t>механизмът за издаване на строителни визи и др.</w:t>
      </w:r>
    </w:p>
    <w:p>
      <w:pPr>
        <w:pStyle w:val="NormalWeb"/>
        <w:spacing w:lineRule="auto" w:line="360" w:before="280" w:after="0"/>
        <w:jc w:val="both"/>
        <w:rPr/>
      </w:pPr>
      <w:r>
        <w:rPr/>
        <w:tab/>
        <w:t>За извършените услуги по организацията, осъществяването и оформянето на сделката брокерът получава сума, която се нарича брокерска комисионна и се договаря свободно между него и ангажиралата го страна. Обикновено тя се определя като процент от сумата, на която ще се продаде имота. Ако брокерът действа като посредник на купувача и продава едновременно, той получава съответната комисионна и от двамата възложители.</w:t>
      </w:r>
    </w:p>
    <w:p>
      <w:pPr>
        <w:pStyle w:val="NormalWeb"/>
        <w:spacing w:lineRule="auto" w:line="360" w:before="280" w:after="0"/>
        <w:jc w:val="both"/>
        <w:rPr/>
      </w:pPr>
      <w:r>
        <w:rPr/>
        <w:tab/>
        <w:t xml:space="preserve">Чрез посредничеството си между купувача и продавача брокерът не носи личен или за фирмата си финансов риск. Всъщност брокерът се явява правен субект, лице, участващо в реализацията на сделката, като представител на една от страните. Посредническата дейност се осъществява, когато клиентът /продавач или купувач/ е предоставил на брокера изключително право на представителство чрез поръчка или договор. В този случай брокерът осъществява от свое име и за сметка на клиента определени действия, целящи реализирането на съответната сделка при фиксирана цена и срок. Практически това се договаря между брокера и клиента в </w:t>
      </w:r>
      <w:r>
        <w:rPr>
          <w:u w:val="single"/>
        </w:rPr>
        <w:t>комисионен договор</w:t>
      </w:r>
      <w:r>
        <w:rPr/>
        <w:t xml:space="preserve">, </w:t>
      </w:r>
      <w:r>
        <w:rPr>
          <w:u w:val="single"/>
        </w:rPr>
        <w:t>посреднически договор</w:t>
      </w:r>
      <w:r>
        <w:rPr/>
        <w:t xml:space="preserve"> или в </w:t>
      </w:r>
      <w:r>
        <w:rPr>
          <w:u w:val="single"/>
        </w:rPr>
        <w:t>договор за представителство</w:t>
      </w:r>
      <w:r>
        <w:rPr/>
        <w:t xml:space="preserve">, при което клиентът е в качеството си на възложител, а брокерът е комисионер /изпълнител/, който срещу определено заплащане извършва подготовката и реализирането на сделката. </w:t>
      </w:r>
    </w:p>
    <w:p>
      <w:pPr>
        <w:pStyle w:val="NormalWeb"/>
        <w:spacing w:lineRule="auto" w:line="360" w:before="280" w:after="0"/>
        <w:jc w:val="both"/>
        <w:rPr/>
      </w:pPr>
      <w:r>
        <w:rPr/>
        <w:tab/>
        <w:t>Доверителите- възложителите  /продавачите/ по сделки с НИ могат да предоставят на брокерите различна представителна власт, а именно:</w:t>
      </w:r>
    </w:p>
    <w:p>
      <w:pPr>
        <w:pStyle w:val="NormalWeb"/>
        <w:spacing w:lineRule="auto" w:line="360" w:before="280" w:after="0"/>
        <w:jc w:val="both"/>
        <w:rPr/>
      </w:pPr>
      <w:r>
        <w:rPr>
          <w:i/>
          <w:iCs/>
        </w:rPr>
        <w:tab/>
      </w:r>
      <w:r>
        <w:rPr/>
        <w:t>а/ изключително право на представителство;</w:t>
      </w:r>
    </w:p>
    <w:p>
      <w:pPr>
        <w:pStyle w:val="NormalWeb"/>
        <w:spacing w:lineRule="auto" w:line="360" w:before="280" w:after="0"/>
        <w:jc w:val="both"/>
        <w:rPr/>
      </w:pPr>
      <w:r>
        <w:rPr/>
        <w:tab/>
        <w:t>б/ ограничено право на представителство;</w:t>
      </w:r>
    </w:p>
    <w:p>
      <w:pPr>
        <w:pStyle w:val="NormalWeb"/>
        <w:spacing w:lineRule="auto" w:line="360" w:before="280" w:after="0"/>
        <w:jc w:val="both"/>
        <w:rPr/>
      </w:pPr>
      <w:r>
        <w:rPr/>
        <w:tab/>
        <w:t>в/ изключително право на продажба.</w:t>
      </w:r>
    </w:p>
    <w:p>
      <w:pPr>
        <w:pStyle w:val="NormalWeb"/>
        <w:spacing w:lineRule="auto" w:line="360" w:before="280" w:after="0"/>
        <w:jc w:val="both"/>
        <w:rPr/>
      </w:pPr>
      <w:r>
        <w:rPr>
          <w:i/>
          <w:iCs/>
        </w:rPr>
        <w:tab/>
      </w:r>
      <w:r>
        <w:rPr>
          <w:u w:val="single"/>
        </w:rPr>
        <w:t>Изключително право на представителство</w:t>
      </w:r>
      <w:r>
        <w:rPr/>
        <w:t xml:space="preserve"> се предоставя само на един единствен брокер на база на договор между него и продавача, за продажба на имота в рамките на определен период от време. Ако в рамките на този период брокерът реализира сделката, той има право на договорения процент комисионна. Ако обаче продавачът даде на брокерска къща изключително право на представителство за продажба на имота му и ако брокер от същата къща или друга брокерска къща/агенция/ продаде имота в определения срок, то възнаграждение ще получи първата брокерска къща. Този договор дава право и на собственика сам да продаде имоте си и ако собственикът сам реализира сделката независимо от направените разходи за реклама и др., брокерът няма право на възнаграждение. Затова при сключване на договори между възложители продавачи и купувачи някои от брокерските къщи изискват да им се заплатят предварително разходите по рекламирането и обябяването на съответния имот.</w:t>
      </w:r>
    </w:p>
    <w:p>
      <w:pPr>
        <w:pStyle w:val="NormalWeb"/>
        <w:spacing w:lineRule="auto" w:line="360" w:before="280" w:after="0"/>
        <w:jc w:val="both"/>
        <w:rPr/>
      </w:pPr>
      <w:r>
        <w:rPr>
          <w:i/>
          <w:iCs/>
        </w:rPr>
        <w:tab/>
      </w:r>
      <w:r>
        <w:rPr>
          <w:u w:val="single"/>
        </w:rPr>
        <w:t>Ограничено право на представителство</w:t>
      </w:r>
      <w:r>
        <w:rPr/>
        <w:t xml:space="preserve">  се предоставя на брокера/посредник/ ангажиран с продажбата на недвижимо имущество на база  договор, в който е включено условието, че продавачът дължи комисионна на брокера, който е осъществил сделката. Ако продавачът продаде имота си сам никой не получава комисионна.</w:t>
      </w:r>
    </w:p>
    <w:p>
      <w:pPr>
        <w:pStyle w:val="NormalWeb"/>
        <w:spacing w:lineRule="auto" w:line="360" w:before="280" w:after="0"/>
        <w:jc w:val="both"/>
        <w:rPr/>
      </w:pPr>
      <w:r>
        <w:rPr>
          <w:i/>
          <w:iCs/>
        </w:rPr>
        <w:tab/>
      </w:r>
      <w:r>
        <w:rPr/>
        <w:t>Брокерът, който се съгласи да дели комисионната с друг брокер, се нарича брокер- сътрудник. В този случай брокерът, който е вписал имота /обявил имота / за продажба е брокер- сътрудник на този, който е намерил купувач и осъществил сделка. Двамата се споразумяват за подялба на комисионата, като коректността в бизнеса също изисква това.</w:t>
      </w:r>
    </w:p>
    <w:p>
      <w:pPr>
        <w:pStyle w:val="NormalWeb"/>
        <w:spacing w:lineRule="auto" w:line="360" w:before="280" w:after="0"/>
        <w:jc w:val="both"/>
        <w:rPr/>
      </w:pPr>
      <w:r>
        <w:rPr>
          <w:i/>
          <w:iCs/>
        </w:rPr>
        <w:tab/>
      </w:r>
      <w:r>
        <w:rPr>
          <w:u w:val="single"/>
        </w:rPr>
        <w:t>Изключително право на продажба</w:t>
      </w:r>
      <w:r>
        <w:rPr/>
        <w:t xml:space="preserve"> се предоставя на базата на договор между продавача и брокера, който дава право и гарантира на брокера получаването на комисионна върху сумата на сделката в случай, че имотът бъде продаден в определения срок, независимо от кого, вкл. и от собственика.</w:t>
      </w:r>
    </w:p>
    <w:p>
      <w:pPr>
        <w:pStyle w:val="Normal"/>
        <w:spacing w:lineRule="auto" w:line="360"/>
        <w:ind w:firstLine="180" w:end="72"/>
        <w:jc w:val="both"/>
        <w:rPr/>
      </w:pPr>
      <w:r>
        <w:rPr/>
      </w:r>
    </w:p>
    <w:p>
      <w:pPr>
        <w:pStyle w:val="Normal"/>
        <w:spacing w:lineRule="auto" w:line="360"/>
        <w:ind w:firstLine="180" w:end="72"/>
        <w:jc w:val="both"/>
        <w:rPr/>
      </w:pPr>
      <w:r>
        <w:rPr/>
        <w:tab/>
        <w:t xml:space="preserve">Дейността на брокера е свързана с консултирането и даването на професионално обработена информация за пазара на съответния вид НИ при вземане на инвестиционно решение от страна на клиента. </w:t>
      </w:r>
    </w:p>
    <w:p>
      <w:pPr>
        <w:pStyle w:val="Normal"/>
        <w:spacing w:lineRule="auto" w:line="360"/>
        <w:ind w:firstLine="180" w:end="72"/>
        <w:jc w:val="both"/>
        <w:rPr/>
      </w:pPr>
      <w:r>
        <w:rPr/>
        <w:tab/>
      </w:r>
      <w:r>
        <w:rPr>
          <w:u w:val="single"/>
        </w:rPr>
        <w:t>Добрият брокер трябва да притежава следните качества</w:t>
      </w:r>
      <w:r>
        <w:rPr/>
        <w:t>:</w:t>
      </w:r>
    </w:p>
    <w:p>
      <w:pPr>
        <w:pStyle w:val="Normal"/>
        <w:numPr>
          <w:ilvl w:val="0"/>
          <w:numId w:val="5"/>
        </w:numPr>
        <w:spacing w:lineRule="auto" w:line="360"/>
        <w:ind w:hanging="360" w:start="900" w:end="72"/>
        <w:jc w:val="both"/>
        <w:rPr/>
      </w:pPr>
      <w:r>
        <w:rPr/>
        <w:t>да има аналитичен ум, гъвкавост, предприемчивост, да е комуникативен и коректен;</w:t>
      </w:r>
    </w:p>
    <w:p>
      <w:pPr>
        <w:pStyle w:val="Normal"/>
        <w:numPr>
          <w:ilvl w:val="0"/>
          <w:numId w:val="5"/>
        </w:numPr>
        <w:spacing w:lineRule="auto" w:line="360"/>
        <w:ind w:hanging="360" w:start="900" w:end="72"/>
        <w:jc w:val="both"/>
        <w:rPr/>
      </w:pPr>
      <w:r>
        <w:rPr/>
        <w:t>да умее да се адаптира към ситуацията на пазара; да може да се справя с негативите на различни ситуации, които възникват в процеса на покунко-продажбата/ да има умения за намаляване максимално на риска от нереализиране на сделка на пазара на НИ/;</w:t>
      </w:r>
    </w:p>
    <w:p>
      <w:pPr>
        <w:pStyle w:val="Normal"/>
        <w:numPr>
          <w:ilvl w:val="0"/>
          <w:numId w:val="5"/>
        </w:numPr>
        <w:spacing w:lineRule="auto" w:line="360"/>
        <w:ind w:hanging="360" w:start="900" w:end="72"/>
        <w:jc w:val="both"/>
        <w:rPr/>
      </w:pPr>
      <w:r>
        <w:rPr/>
        <w:t>да е запознат с целия процес -  от вземането на решението до реализацията на сделката; постоянно и пряко да участва в процеса на покупко-продажба – да дава информация за предлаганите оферти на пазара, за различните търсения от страна на купувачи/наематели и ценовите нива, на които се реализират сделките на пазара ;</w:t>
      </w:r>
    </w:p>
    <w:p>
      <w:pPr>
        <w:pStyle w:val="Normal"/>
        <w:numPr>
          <w:ilvl w:val="0"/>
          <w:numId w:val="5"/>
        </w:numPr>
        <w:spacing w:lineRule="auto" w:line="360"/>
        <w:ind w:hanging="360" w:start="900" w:end="72"/>
        <w:jc w:val="both"/>
        <w:rPr/>
      </w:pPr>
      <w:r>
        <w:rPr/>
        <w:t>да има теоретична подготовка, свързана с изучаване на основните понятия и документи, необходими за продажбата на идон имот; да има базови познания по строителство и архитектура, за да може успешно да борави с архитектурните проекти на сградите; да разполага с необходимите специални познания и в други области като: вещно право, устройство на територията, местно самоуправление, ипотечно кредитиране, застраховане, данъчно облагане и др.;</w:t>
      </w:r>
    </w:p>
    <w:p>
      <w:pPr>
        <w:pStyle w:val="Normal"/>
        <w:numPr>
          <w:ilvl w:val="0"/>
          <w:numId w:val="5"/>
        </w:numPr>
        <w:spacing w:lineRule="auto" w:line="360"/>
        <w:ind w:hanging="360" w:start="900" w:end="72"/>
        <w:jc w:val="both"/>
        <w:rPr/>
      </w:pPr>
      <w:r>
        <w:rPr/>
        <w:t>да бъде добър психолог – да умее да слуша и разбира клиентите си и др.</w:t>
      </w:r>
    </w:p>
    <w:p>
      <w:pPr>
        <w:pStyle w:val="Normal"/>
        <w:spacing w:lineRule="auto" w:line="360"/>
        <w:ind w:start="540" w:end="72"/>
        <w:jc w:val="both"/>
        <w:rPr/>
      </w:pPr>
      <w:r>
        <w:rPr/>
        <w:tab/>
        <w:tab/>
        <w:t xml:space="preserve">Посредничеството на брокер на пазара на НИ способства за постигането на следните </w:t>
      </w:r>
      <w:r>
        <w:rPr>
          <w:u w:val="single"/>
        </w:rPr>
        <w:t>положителни резултати</w:t>
      </w:r>
      <w:r>
        <w:rPr/>
        <w:t>:</w:t>
      </w:r>
    </w:p>
    <w:p>
      <w:pPr>
        <w:pStyle w:val="Normal"/>
        <w:numPr>
          <w:ilvl w:val="0"/>
          <w:numId w:val="8"/>
        </w:numPr>
        <w:spacing w:lineRule="auto" w:line="360"/>
        <w:ind w:hanging="0" w:start="720" w:end="72"/>
        <w:jc w:val="both"/>
        <w:rPr/>
      </w:pPr>
      <w:r>
        <w:rPr/>
        <w:t>сигурност за юридическата обезпеченост на сделките; повишава се сигурността чрез проверки за имота;</w:t>
      </w:r>
    </w:p>
    <w:p>
      <w:pPr>
        <w:pStyle w:val="Normal"/>
        <w:numPr>
          <w:ilvl w:val="0"/>
          <w:numId w:val="8"/>
        </w:numPr>
        <w:spacing w:lineRule="auto" w:line="360"/>
        <w:ind w:hanging="0" w:start="720" w:end="72"/>
        <w:jc w:val="both"/>
        <w:rPr/>
      </w:pPr>
      <w:r>
        <w:rPr/>
        <w:t>възможност за постигане на оптимална цена на имота, съобразно моментното състояние на пазара и тенденциите в неговото развитие, както и в зависимост от интересите и възможностите на клиента.</w:t>
      </w:r>
    </w:p>
    <w:p>
      <w:pPr>
        <w:pStyle w:val="Normal"/>
        <w:numPr>
          <w:ilvl w:val="0"/>
          <w:numId w:val="1"/>
        </w:numPr>
        <w:tabs>
          <w:tab w:val="clear" w:pos="708"/>
        </w:tabs>
        <w:spacing w:lineRule="auto" w:line="360"/>
        <w:ind w:firstLine="720" w:start="0" w:end="72"/>
        <w:jc w:val="both"/>
        <w:rPr/>
      </w:pPr>
      <w:r>
        <w:rPr/>
        <w:t>Осигуряване на база данни както от оферти, така и от потенциални купувачи/наематели и в резултат възможност за бързо реагиране на търсенето и предлагането на своите клиенти, а при липса на подходящи за клиента си купувач/наемател оферти в своята база данни – търсене на такива на целия пазар, обслужвайки по този начин интереса на своя клиент, а не на фирмата; осигурява се достоверна пазарна информация за текущото предлагане и търсене  на имоти, както и къде могат да се срещнат интересите на свете страни,</w:t>
      </w:r>
      <w:r>
        <w:rPr>
          <w:b/>
          <w:bCs/>
          <w:i/>
          <w:iCs/>
        </w:rPr>
        <w:t xml:space="preserve"> </w:t>
      </w:r>
      <w:r>
        <w:rPr/>
        <w:t>за  средните равнища на пазарните цени на съответния вид НИ към момента;</w:t>
      </w:r>
    </w:p>
    <w:p>
      <w:pPr>
        <w:pStyle w:val="Normal"/>
        <w:numPr>
          <w:ilvl w:val="0"/>
          <w:numId w:val="1"/>
        </w:numPr>
        <w:tabs>
          <w:tab w:val="clear" w:pos="708"/>
          <w:tab w:val="left" w:pos="1080" w:leader="none"/>
        </w:tabs>
        <w:spacing w:lineRule="auto" w:line="360"/>
        <w:ind w:hanging="360" w:start="1080" w:end="72"/>
        <w:jc w:val="both"/>
        <w:rPr/>
      </w:pPr>
      <w:r>
        <w:rPr/>
        <w:t>дава се професионална оценка на конкретна оферта и конкретен имот /SWOT анализ на офертата/; очертаване на положителните и отрицателните страни на офертата, възможностите, които предоставя имотът и рисковете при предлагането му;</w:t>
      </w:r>
    </w:p>
    <w:p>
      <w:pPr>
        <w:pStyle w:val="Normal"/>
        <w:numPr>
          <w:ilvl w:val="0"/>
          <w:numId w:val="1"/>
        </w:numPr>
        <w:tabs>
          <w:tab w:val="clear" w:pos="708"/>
          <w:tab w:val="left" w:pos="1080" w:leader="none"/>
        </w:tabs>
        <w:spacing w:lineRule="auto" w:line="360"/>
        <w:ind w:hanging="360" w:start="1080" w:end="72"/>
        <w:jc w:val="both"/>
        <w:rPr/>
      </w:pPr>
      <w:r>
        <w:rPr/>
        <w:t>осигурява се професионално консултиране /утвърдените АНИ разполагат с консултантски екипи, включващи юристи, финансисти, архитекти и специалисти  от сферата на НИ и оценяването, които осигуряват вземането на информирани пазарни решения и успешно реализиране на всякакви проекти/;</w:t>
      </w:r>
    </w:p>
    <w:p>
      <w:pPr>
        <w:pStyle w:val="Normal"/>
        <w:numPr>
          <w:ilvl w:val="0"/>
          <w:numId w:val="1"/>
        </w:numPr>
        <w:tabs>
          <w:tab w:val="clear" w:pos="708"/>
          <w:tab w:val="left" w:pos="1080" w:leader="none"/>
        </w:tabs>
        <w:spacing w:lineRule="auto" w:line="360"/>
        <w:ind w:hanging="360" w:start="1080" w:end="72"/>
        <w:jc w:val="both"/>
        <w:rPr/>
      </w:pPr>
      <w:r>
        <w:rPr/>
        <w:t>намалява се разхода на време за реализация на сделката и се спестява лично време и пари – за скъпите реклами на имота в масмедиите, за водене на безброй телефонни разговори с отенциални клиенти, за провеждане на безсмислени огледи, за допълнителни разходи около предлагането на пазара и намирането на клиент;</w:t>
      </w:r>
    </w:p>
    <w:p>
      <w:pPr>
        <w:pStyle w:val="Normal"/>
        <w:numPr>
          <w:ilvl w:val="0"/>
          <w:numId w:val="1"/>
        </w:numPr>
        <w:tabs>
          <w:tab w:val="clear" w:pos="708"/>
        </w:tabs>
        <w:spacing w:lineRule="auto" w:line="360"/>
        <w:ind w:hanging="360" w:start="1080" w:end="72"/>
        <w:jc w:val="both"/>
        <w:rPr/>
      </w:pPr>
      <w:r>
        <w:rPr/>
        <w:t>опознава се процеса на договаряне и сключване на сделки, както и документите за сделката и др.;</w:t>
      </w:r>
    </w:p>
    <w:p>
      <w:pPr>
        <w:pStyle w:val="Normal"/>
        <w:spacing w:lineRule="auto" w:line="360"/>
        <w:ind w:end="72"/>
        <w:jc w:val="both"/>
        <w:rPr>
          <w:i/>
          <w:i/>
          <w:iCs/>
        </w:rPr>
      </w:pPr>
      <w:r>
        <w:rPr/>
        <w:tab/>
        <w:t xml:space="preserve">Контактът между клиента и лицето, което действа от негово име /брокерът” / на пазара на НИ, става на основата на писмен договор. </w:t>
      </w:r>
    </w:p>
    <w:p>
      <w:pPr>
        <w:pStyle w:val="Normal"/>
        <w:spacing w:lineRule="auto" w:line="360"/>
        <w:ind w:end="72"/>
        <w:jc w:val="both"/>
        <w:rPr/>
      </w:pPr>
      <w:r>
        <w:rPr/>
        <w:tab/>
        <w:t xml:space="preserve">Посредническата дейност на брокера създава взаимоотношения, които са свързани с определени </w:t>
      </w:r>
      <w:r>
        <w:rPr>
          <w:u w:val="single"/>
        </w:rPr>
        <w:t>отговорности</w:t>
      </w:r>
      <w:r>
        <w:rPr/>
        <w:t>. Такива са:</w:t>
      </w:r>
    </w:p>
    <w:p>
      <w:pPr>
        <w:pStyle w:val="Normal"/>
        <w:numPr>
          <w:ilvl w:val="0"/>
          <w:numId w:val="2"/>
        </w:numPr>
        <w:tabs>
          <w:tab w:val="clear" w:pos="708"/>
        </w:tabs>
        <w:spacing w:lineRule="auto" w:line="360"/>
        <w:ind w:firstLine="1260" w:start="0" w:end="72"/>
        <w:jc w:val="both"/>
        <w:rPr/>
      </w:pPr>
      <w:r>
        <w:rPr/>
        <w:t>поставянето на първо място интересите и желанията на клиента си; проява на лоялност към възложителя си;</w:t>
      </w:r>
    </w:p>
    <w:p>
      <w:pPr>
        <w:pStyle w:val="Normal"/>
        <w:numPr>
          <w:ilvl w:val="0"/>
          <w:numId w:val="2"/>
        </w:numPr>
        <w:spacing w:lineRule="auto" w:line="360"/>
        <w:ind w:firstLine="900" w:start="360" w:end="72"/>
        <w:jc w:val="both"/>
        <w:rPr/>
      </w:pPr>
      <w:r>
        <w:rPr/>
        <w:t>изпълняване на  указанията на клиента;</w:t>
      </w:r>
    </w:p>
    <w:p>
      <w:pPr>
        <w:pStyle w:val="Normal"/>
        <w:numPr>
          <w:ilvl w:val="0"/>
          <w:numId w:val="3"/>
        </w:numPr>
        <w:tabs>
          <w:tab w:val="clear" w:pos="708"/>
        </w:tabs>
        <w:spacing w:lineRule="auto" w:line="360"/>
        <w:ind w:firstLine="1260" w:start="0" w:end="72"/>
        <w:jc w:val="both"/>
        <w:rPr/>
      </w:pPr>
      <w:r>
        <w:rPr/>
        <w:t>носене на отговорност за предоставените му от клиента документи и пари;</w:t>
      </w:r>
    </w:p>
    <w:p>
      <w:pPr>
        <w:pStyle w:val="Normal"/>
        <w:numPr>
          <w:ilvl w:val="0"/>
          <w:numId w:val="10"/>
        </w:numPr>
        <w:spacing w:lineRule="auto" w:line="360"/>
        <w:ind w:firstLine="1260" w:start="0" w:end="72"/>
        <w:jc w:val="both"/>
        <w:rPr/>
      </w:pPr>
      <w:r>
        <w:rPr/>
        <w:t>спазване на заложените в договора за посредничество права и отговорности, освен ако няма друга допълнителна клауза.</w:t>
      </w:r>
    </w:p>
    <w:p>
      <w:pPr>
        <w:pStyle w:val="Normal"/>
        <w:spacing w:lineRule="auto" w:line="360"/>
        <w:ind w:end="72"/>
        <w:jc w:val="both"/>
        <w:rPr/>
      </w:pPr>
      <w:r>
        <w:rPr/>
        <w:tab/>
        <w:t>Както всеки вид сделка, така и тази с НИ също крие и определени рискове, свързани с това:</w:t>
      </w:r>
    </w:p>
    <w:p>
      <w:pPr>
        <w:pStyle w:val="Normal"/>
        <w:spacing w:lineRule="auto" w:line="360"/>
        <w:ind w:end="72"/>
        <w:jc w:val="both"/>
        <w:rPr/>
      </w:pPr>
      <w:r>
        <w:rPr/>
        <w:tab/>
        <w:t>а/  как да се избире правилния посредник и как да се различи от непрофесионалиста, за да сме сигурни, че интересите ни ще бъдат защитени ;</w:t>
      </w:r>
    </w:p>
    <w:p>
      <w:pPr>
        <w:pStyle w:val="Normal"/>
        <w:spacing w:lineRule="auto" w:line="360"/>
        <w:ind w:end="72"/>
        <w:jc w:val="both"/>
        <w:rPr/>
      </w:pPr>
      <w:r>
        <w:rPr/>
        <w:tab/>
        <w:t>б/юристи да влизат в ролята на посредник при сделките с НИ – за успешното приключване на една сделка са необходими обаче доста други качества и умения /познаване в дълбочина на пазара, възможност за определяне на оптимална цена, водене на преговори и сключване на сделка, гъвкавост при договаряне на условията на сделката/, комплекс от които може да продложи само агенцията- посредник, зад която стои цял екип от специалисти в различни области.</w:t>
      </w:r>
    </w:p>
    <w:p>
      <w:pPr>
        <w:pStyle w:val="NormalWeb"/>
        <w:spacing w:lineRule="auto" w:line="360" w:before="280" w:after="0"/>
        <w:jc w:val="both"/>
        <w:rPr/>
      </w:pPr>
      <w:r>
        <w:rPr/>
        <w:tab/>
        <w:t>Когато продавачът или купувачът осъществяват една сделка без участието на брокерска къща с цел спестяване на комисионната, те могат да да бъдат измамени относно статута на собствеността с фалшиви нотариални актове, с фалшиви документи относно изповядването на сделката пред нотариус и др. Възможно е и да не получат изцяло сумата по покупко-продажбата на имота или да не могат да влезнат във владение на имота, тъй като то принадлежи на друго лице, или пък наблюдава и продажбата на един и същи имот едновременно на няколко лица с цел лично облагодетелстване, ипотекиране в различни банки и др. Така благодарение на компетентността на брокерите много от т.н. фалшиви /измамни/ сделки на пазара на НИ могат да бъдат пресечени.</w:t>
      </w:r>
    </w:p>
    <w:p>
      <w:pPr>
        <w:pStyle w:val="NormalWeb"/>
        <w:spacing w:lineRule="auto" w:line="360" w:before="280" w:after="0"/>
        <w:jc w:val="both"/>
        <w:rPr/>
      </w:pPr>
      <w:r>
        <w:rPr/>
        <w:tab/>
        <w:t>В бъдеще лицензирането на търговците – посредници с НИ ще гарантира защитата на интересите на купувачите и продавачите на тези скъпоструващи стоки. Едновременно с това ще се въведе определен ред и правила на пазара на НИ.</w:t>
      </w:r>
    </w:p>
    <w:p>
      <w:pPr>
        <w:pStyle w:val="NormalWeb"/>
        <w:spacing w:lineRule="auto" w:line="360" w:before="280" w:after="0"/>
        <w:jc w:val="center"/>
        <w:rPr/>
      </w:pPr>
      <w:r>
        <w:rPr/>
        <w:tab/>
        <w:t xml:space="preserve">2.2.4. </w:t>
      </w:r>
      <w:r>
        <w:rPr>
          <w:u w:val="single"/>
        </w:rPr>
        <w:t xml:space="preserve">Организация и технология на </w:t>
      </w:r>
      <w:hyperlink r:id="rId6">
        <w:r>
          <w:rPr>
            <w:rStyle w:val="Hyperlink"/>
            <w:color w:val="000000"/>
          </w:rPr>
          <w:t>търговия</w:t>
        </w:r>
      </w:hyperlink>
      <w:r>
        <w:rPr>
          <w:u w:val="single"/>
        </w:rPr>
        <w:t>та с НИ в АНИ</w:t>
      </w:r>
    </w:p>
    <w:p>
      <w:pPr>
        <w:pStyle w:val="NormalWeb"/>
        <w:spacing w:lineRule="auto" w:line="360" w:before="280" w:after="0"/>
        <w:jc w:val="both"/>
        <w:rPr/>
      </w:pPr>
      <w:r>
        <w:rPr/>
        <w:tab/>
        <w:t>Извършването на сделки с НИ е продължителен процес, изискващ разнообразни познания от участниците в него. Потенциалните купувачи, както и продавачите, които са основните субекти при осъществяване на сделката, обикновено възлагат изпълнението на сделката на търговския посредник –АНИ. Практически този момент се договаря между брокера и клиента на АНИ в договор за посредническа поръчка или договор за представителство, при който клиентът е в качеството си на доверител, а брокерът е посредник. Срещу заплащане на определена цена за посредническата услуга той извършва подготовката и финализирането на сделката.</w:t>
      </w:r>
    </w:p>
    <w:p>
      <w:pPr>
        <w:pStyle w:val="NormalWeb"/>
        <w:spacing w:lineRule="auto" w:line="360" w:before="280" w:after="0"/>
        <w:jc w:val="both"/>
        <w:rPr/>
      </w:pPr>
      <w:r>
        <w:rPr/>
        <w:tab/>
        <w:t>При сегашните пазарни условия АНИ като посредник извършва сделки по съобразена единствено със собствената й стратегия организация и</w:t>
      </w:r>
      <w:r>
        <w:rPr>
          <w:b/>
          <w:bCs/>
          <w:i/>
          <w:iCs/>
        </w:rPr>
        <w:t xml:space="preserve"> </w:t>
      </w:r>
      <w:r>
        <w:rPr/>
        <w:t xml:space="preserve">технологична схема. </w:t>
      </w:r>
    </w:p>
    <w:p>
      <w:pPr>
        <w:pStyle w:val="NormalWeb"/>
        <w:spacing w:lineRule="auto" w:line="360" w:before="280" w:after="0"/>
        <w:jc w:val="both"/>
        <w:rPr/>
      </w:pPr>
      <w:r>
        <w:rPr/>
        <w:tab/>
      </w:r>
      <w:r>
        <w:rPr>
          <w:u w:val="single"/>
        </w:rPr>
        <w:t>Организирането на търговията с НИ</w:t>
      </w:r>
      <w:r>
        <w:rPr/>
        <w:t xml:space="preserve"> изисква извършването на следните дейности:</w:t>
      </w:r>
    </w:p>
    <w:p>
      <w:pPr>
        <w:pStyle w:val="NormalWeb"/>
        <w:spacing w:lineRule="auto" w:line="360" w:before="280" w:after="0"/>
        <w:jc w:val="both"/>
        <w:rPr/>
      </w:pPr>
      <w:r>
        <w:rPr/>
        <w:tab/>
        <w:t xml:space="preserve">1. Осъществяването на сделките започва с попълването на </w:t>
      </w:r>
      <w:hyperlink r:id="rId7">
        <w:r>
          <w:rPr>
            <w:rStyle w:val="Hyperlink"/>
            <w:color w:val="000000"/>
          </w:rPr>
          <w:t>информация</w:t>
        </w:r>
      </w:hyperlink>
      <w:r>
        <w:rPr>
          <w:u w:val="single"/>
        </w:rPr>
        <w:t xml:space="preserve"> на база данни</w:t>
      </w:r>
      <w:r>
        <w:rPr/>
        <w:t xml:space="preserve">. Тя включва първична или вторична информация, чрез която се контролира </w:t>
      </w:r>
      <w:hyperlink r:id="rId8">
        <w:r>
          <w:rPr>
            <w:rStyle w:val="Hyperlink"/>
            <w:color w:val="000000"/>
            <w:u w:val="none"/>
          </w:rPr>
          <w:t>развитие</w:t>
        </w:r>
      </w:hyperlink>
      <w:r>
        <w:rPr/>
        <w:t xml:space="preserve">то и състоянието на сделката:                                     </w:t>
      </w:r>
    </w:p>
    <w:p>
      <w:pPr>
        <w:pStyle w:val="NormalWeb"/>
        <w:numPr>
          <w:ilvl w:val="0"/>
          <w:numId w:val="10"/>
        </w:numPr>
        <w:spacing w:lineRule="auto" w:line="360" w:before="280" w:after="0"/>
        <w:jc w:val="both"/>
        <w:rPr/>
      </w:pPr>
      <w:r>
        <w:rPr/>
        <w:t>Информацията за предстоящи сделки в първичната база данни се набира от медиите, от собствени информационни източници или чрез обмен с други агенции. Най-значителната част от информацията се набира чрез медиите посредством публикуваните обяви и реклами в централни и местни ежедневници.</w:t>
      </w:r>
    </w:p>
    <w:p>
      <w:pPr>
        <w:pStyle w:val="NormalWeb"/>
        <w:numPr>
          <w:ilvl w:val="0"/>
          <w:numId w:val="10"/>
        </w:numPr>
        <w:spacing w:lineRule="auto" w:line="360" w:before="0" w:after="280"/>
        <w:jc w:val="both"/>
        <w:rPr/>
      </w:pPr>
      <w:r>
        <w:rPr/>
        <w:t>Собствената информация постъпва в базата данни от изградената мрежа от посредници /брокери/, работещи за агенцията.</w:t>
      </w:r>
    </w:p>
    <w:p>
      <w:pPr>
        <w:pStyle w:val="NormalWeb"/>
        <w:spacing w:lineRule="auto" w:line="360" w:before="280" w:after="0"/>
        <w:jc w:val="both"/>
        <w:rPr/>
      </w:pPr>
      <w:r>
        <w:rPr/>
        <w:tab/>
        <w:t>Чрез набирането на информация в базата данни</w:t>
        <w:tab/>
        <w:t>се идентифизицира и персоналифицира клиентът. Сделката започва още с преговорите по телефона и е много важно брокерът да бъде достатъчно убедителен и гъвкав, за да привлече вниманието на клиентите и да събере достатъчно първоначална информация.</w:t>
      </w:r>
    </w:p>
    <w:p>
      <w:pPr>
        <w:pStyle w:val="Normal"/>
        <w:spacing w:lineRule="auto" w:line="360"/>
        <w:ind w:end="-108"/>
        <w:jc w:val="both"/>
        <w:rPr/>
      </w:pPr>
      <w:r>
        <w:rPr/>
        <w:tab/>
        <w:t xml:space="preserve">2. Процесът на осъществяване на сделки с НИ обхваща и </w:t>
      </w:r>
      <w:r>
        <w:rPr>
          <w:u w:val="single"/>
        </w:rPr>
        <w:t>дейности и консултантски услуги</w:t>
      </w:r>
      <w:r>
        <w:rPr/>
        <w:t xml:space="preserve"> в областта на посредничеството с обекти на НС, каквито са:</w:t>
      </w:r>
    </w:p>
    <w:p>
      <w:pPr>
        <w:pStyle w:val="westernc4"/>
        <w:spacing w:lineRule="auto" w:line="360"/>
        <w:ind w:end="-108"/>
        <w:jc w:val="both"/>
        <w:rPr/>
      </w:pPr>
      <w:r>
        <w:rPr/>
        <w:tab/>
        <w:tab/>
        <w:t xml:space="preserve">а/ </w:t>
      </w:r>
      <w:r>
        <w:rPr>
          <w:u w:val="single"/>
        </w:rPr>
        <w:t>Проверка на състоянието на имота</w:t>
      </w:r>
      <w:r>
        <w:rPr/>
        <w:t xml:space="preserve">. То предполага извършване на технически, финансови и правни анализи, всякакви специфични експертни оценки необходими при вземане на стратегически решения: извършване на проучване на </w:t>
      </w:r>
      <w:r>
        <w:rPr>
          <w:lang w:val="ru-RU"/>
        </w:rPr>
        <w:t xml:space="preserve">НИ </w:t>
      </w:r>
      <w:r>
        <w:rPr/>
        <w:t>по отношение на неговия произход и собствеността върху него, легитимността на собственика или съсобствениците, желаещи да продадат съответния обект на НС. Проверка на наличието на определени тежести или възбрани по отношение на НИ.</w:t>
      </w:r>
    </w:p>
    <w:p>
      <w:pPr>
        <w:pStyle w:val="westernc6"/>
        <w:spacing w:lineRule="auto" w:line="360"/>
        <w:ind w:end="72"/>
        <w:jc w:val="both"/>
        <w:rPr/>
      </w:pPr>
      <w:r>
        <w:rPr/>
        <w:tab/>
        <w:tab/>
        <w:t xml:space="preserve">б/ Осъществяване на </w:t>
      </w:r>
      <w:r>
        <w:rPr>
          <w:u w:val="single"/>
        </w:rPr>
        <w:t>оценка на НИ</w:t>
      </w:r>
      <w:r>
        <w:rPr/>
        <w:t xml:space="preserve"> от посредническата агенция или от лицензиран оценител на НИ. </w:t>
      </w:r>
    </w:p>
    <w:p>
      <w:pPr>
        <w:pStyle w:val="westernc6"/>
        <w:spacing w:lineRule="auto" w:line="360"/>
        <w:ind w:end="72"/>
        <w:jc w:val="both"/>
        <w:rPr/>
      </w:pPr>
      <w:r>
        <w:rPr/>
        <w:tab/>
        <w:t>Извършването на технически и финансови анализи, всякакви специфични експертни оценки, необходими при вземане на стратегически решения включва:</w:t>
      </w:r>
    </w:p>
    <w:p>
      <w:pPr>
        <w:pStyle w:val="westernc6"/>
        <w:numPr>
          <w:ilvl w:val="0"/>
          <w:numId w:val="9"/>
        </w:numPr>
        <w:tabs>
          <w:tab w:val="clear" w:pos="708"/>
        </w:tabs>
        <w:spacing w:lineRule="auto" w:line="360" w:before="280" w:after="280"/>
        <w:ind w:firstLine="1080" w:start="0" w:end="72"/>
        <w:jc w:val="both"/>
        <w:rPr/>
      </w:pPr>
      <w:r>
        <w:rPr/>
        <w:t>оценка на имота. Тя се представя чрез заключения на база годишните финансови извлечения, ипотеки и данъчна оценка на обекта или проекта в процеса на покупко-продажбата. Експерт-оценителите, след придобиване на лиценз за оценител на НИ, представят услугата към финансовите институции (банки, правителствени организации и др.), извършвайки оценките в съответствие с международните и национални стандарти за оценяване;</w:t>
      </w:r>
    </w:p>
    <w:p>
      <w:pPr>
        <w:pStyle w:val="westernc6"/>
        <w:numPr>
          <w:ilvl w:val="0"/>
          <w:numId w:val="12"/>
        </w:numPr>
        <w:tabs>
          <w:tab w:val="clear" w:pos="708"/>
        </w:tabs>
        <w:spacing w:lineRule="auto" w:line="360" w:before="0" w:after="280"/>
        <w:ind w:firstLine="1080" w:start="0" w:end="72"/>
        <w:jc w:val="both"/>
        <w:rPr/>
      </w:pPr>
      <w:r>
        <w:rPr/>
        <w:t xml:space="preserve">изследване относно оптимизиране на експлоатацията на даден обект, представено от подробни изследвания и оценки на потенциалния имот. Експертите, упражняващи тази услуга, взимат под внимание всички характеристики на обекта като локация, правен статут, възможности за използване и т.н. По този начин те добиват представа за най-ефективната възможна експлоатация на имота, реализираща максимална оценка на проекта и гарантираща оптимално управление на разходите; </w:t>
      </w:r>
    </w:p>
    <w:p>
      <w:pPr>
        <w:pStyle w:val="westernc6"/>
        <w:numPr>
          <w:ilvl w:val="0"/>
          <w:numId w:val="12"/>
        </w:numPr>
        <w:spacing w:lineRule="auto" w:line="360" w:before="0" w:after="280"/>
        <w:ind w:firstLine="1080" w:start="0" w:end="72"/>
        <w:jc w:val="both"/>
        <w:rPr/>
      </w:pPr>
      <w:r>
        <w:rPr/>
        <w:t>определяне на потенциала на НИ чрез анализиране на подробния устройствен план и възможностите за неговото изменение;</w:t>
      </w:r>
    </w:p>
    <w:p>
      <w:pPr>
        <w:pStyle w:val="westernc6"/>
        <w:numPr>
          <w:ilvl w:val="0"/>
          <w:numId w:val="6"/>
        </w:numPr>
        <w:tabs>
          <w:tab w:val="clear" w:pos="708"/>
        </w:tabs>
        <w:spacing w:lineRule="auto" w:line="360" w:before="0" w:after="280"/>
        <w:ind w:firstLine="1080" w:start="0" w:end="72"/>
        <w:jc w:val="both"/>
        <w:rPr/>
      </w:pPr>
      <w:r>
        <w:rPr/>
        <w:t>проучване на конструктивната стабилност и други качества на обекта  на недвижима собственост.</w:t>
      </w:r>
    </w:p>
    <w:p>
      <w:pPr>
        <w:pStyle w:val="westernc6"/>
        <w:spacing w:lineRule="auto" w:line="360"/>
        <w:ind w:end="72"/>
        <w:jc w:val="both"/>
        <w:rPr/>
      </w:pPr>
      <w:r>
        <w:rPr/>
        <w:tab/>
        <w:tab/>
        <w:t xml:space="preserve">в/ </w:t>
      </w:r>
      <w:r>
        <w:rPr>
          <w:u w:val="single"/>
        </w:rPr>
        <w:t>Определяне алтернативите за ползване, рисковете, трудностите и възможностите на дадения обект</w:t>
      </w:r>
      <w:r>
        <w:rPr/>
        <w:t>, за да се оптимизира експлоатацията. Чрез тези анализи инвеститорите определят възможностите за инвестиране, отдаване под наем или продаване, минималната възвръщаемост на инвестицията, оптималният период на инвестиране и т.н.</w:t>
      </w:r>
    </w:p>
    <w:p>
      <w:pPr>
        <w:pStyle w:val="westernc6"/>
        <w:spacing w:lineRule="auto" w:line="360"/>
        <w:ind w:end="72"/>
        <w:jc w:val="both"/>
        <w:rPr/>
      </w:pPr>
      <w:r>
        <w:rPr/>
        <w:tab/>
        <w:tab/>
        <w:t xml:space="preserve">г/ </w:t>
      </w:r>
      <w:r>
        <w:rPr>
          <w:u w:val="single"/>
        </w:rPr>
        <w:t>Извършване на инвестиционен анализ</w:t>
      </w:r>
      <w:r>
        <w:rPr/>
        <w:t xml:space="preserve"> за определяне на желаната възвръщаемост, изследване плана по изпълнението на инвестицията, планирането на финансирането, строителството, рекламата и евентуалната продажба</w:t>
      </w:r>
      <w:r>
        <w:rPr>
          <w:i/>
          <w:iCs/>
        </w:rPr>
        <w:t>.</w:t>
      </w:r>
    </w:p>
    <w:p>
      <w:pPr>
        <w:pStyle w:val="Normal"/>
        <w:spacing w:lineRule="auto" w:line="360"/>
        <w:ind w:firstLine="720" w:end="72"/>
        <w:jc w:val="both"/>
        <w:rPr/>
      </w:pPr>
      <w:r>
        <w:rPr/>
        <w:tab/>
        <w:t xml:space="preserve">д/ </w:t>
      </w:r>
      <w:r>
        <w:rPr>
          <w:u w:val="single"/>
        </w:rPr>
        <w:t>Проучване на възможностите за промяна на предназначението</w:t>
      </w:r>
      <w:r>
        <w:rPr/>
        <w:t xml:space="preserve"> на обектите на НС с оглед задоволяване на потребителското търсене на клиентите; </w:t>
      </w:r>
    </w:p>
    <w:p>
      <w:pPr>
        <w:pStyle w:val="Normal"/>
        <w:spacing w:lineRule="auto" w:line="360"/>
        <w:ind w:firstLine="720" w:end="72"/>
        <w:jc w:val="both"/>
        <w:rPr/>
      </w:pPr>
      <w:r>
        <w:rPr/>
        <w:tab/>
        <w:t xml:space="preserve">е/ Подготвяне на всички необходими за реализацията на сделките с недвижимо имущество </w:t>
      </w:r>
      <w:r>
        <w:rPr>
          <w:u w:val="single"/>
        </w:rPr>
        <w:t>документи</w:t>
      </w:r>
      <w:r>
        <w:rPr/>
        <w:t xml:space="preserve"> и др.</w:t>
      </w:r>
    </w:p>
    <w:p>
      <w:pPr>
        <w:pStyle w:val="Normal"/>
        <w:spacing w:lineRule="auto" w:line="360"/>
        <w:ind w:firstLine="720" w:end="72"/>
        <w:jc w:val="both"/>
        <w:rPr/>
      </w:pPr>
      <w:r>
        <w:rPr/>
        <w:t>Технологичната последователност на сделките с НИ е следната:</w:t>
      </w:r>
    </w:p>
    <w:p>
      <w:pPr>
        <w:pStyle w:val="Normal"/>
        <w:spacing w:lineRule="auto" w:line="360"/>
        <w:ind w:firstLine="720" w:end="72"/>
        <w:jc w:val="both"/>
        <w:rPr/>
      </w:pPr>
      <w:r>
        <w:rPr/>
        <w:t>1. Сключване на посреднически договор за покупка/продажба или наемане/отдаване на НИ – писмено регламентиране на отношенията посреднис-клиент. Проверка на документите на предлагания имот – собственост, тежести, пълномощни, необходимост от осигуряване на допълнителни документи.</w:t>
      </w:r>
    </w:p>
    <w:p>
      <w:pPr>
        <w:pStyle w:val="Normal"/>
        <w:spacing w:lineRule="auto" w:line="360"/>
        <w:ind w:firstLine="720" w:end="72"/>
        <w:jc w:val="both"/>
        <w:rPr/>
      </w:pPr>
      <w:r>
        <w:rPr/>
        <w:t>2. Регистрация на клиентаите в базата данни на фирмата:</w:t>
      </w:r>
    </w:p>
    <w:p>
      <w:pPr>
        <w:pStyle w:val="Normal"/>
        <w:numPr>
          <w:ilvl w:val="0"/>
          <w:numId w:val="6"/>
        </w:numPr>
        <w:spacing w:lineRule="auto" w:line="360"/>
        <w:ind w:firstLine="1080" w:start="360" w:end="72"/>
        <w:jc w:val="both"/>
        <w:rPr/>
      </w:pPr>
      <w:r>
        <w:rPr/>
        <w:t>регистрация на ивота за продажба или отдаване под наем, като същият се оферира на кандидат-купувач или наемател със заявено подобно търсене;</w:t>
      </w:r>
    </w:p>
    <w:p>
      <w:pPr>
        <w:pStyle w:val="Normal"/>
        <w:numPr>
          <w:ilvl w:val="0"/>
          <w:numId w:val="6"/>
        </w:numPr>
        <w:spacing w:lineRule="auto" w:line="360"/>
        <w:ind w:firstLine="1080" w:start="360" w:end="72"/>
        <w:jc w:val="both"/>
        <w:rPr/>
      </w:pPr>
      <w:r>
        <w:rPr/>
        <w:t>регистрация на купувачи или наематели, като на същите се предлагат имоти, отговарящи на заявуното търсене от базата данни на  агенцията, от офертите на други агенции, от целия пазар;</w:t>
      </w:r>
    </w:p>
    <w:p>
      <w:pPr>
        <w:pStyle w:val="Normal"/>
        <w:spacing w:lineRule="auto" w:line="360"/>
        <w:ind w:end="72"/>
        <w:jc w:val="both"/>
        <w:rPr/>
      </w:pPr>
      <w:r>
        <w:rPr/>
        <w:tab/>
        <w:t>3. Осъществяване на огледи.</w:t>
      </w:r>
    </w:p>
    <w:p>
      <w:pPr>
        <w:pStyle w:val="Normal"/>
        <w:spacing w:lineRule="auto" w:line="360"/>
        <w:ind w:end="72"/>
        <w:jc w:val="both"/>
        <w:rPr/>
      </w:pPr>
      <w:r>
        <w:rPr/>
        <w:tab/>
        <w:t>4. Сключване на предварителен договор между страните съобразно договорените условия на сделката.</w:t>
      </w:r>
    </w:p>
    <w:p>
      <w:pPr>
        <w:pStyle w:val="Normal"/>
        <w:spacing w:lineRule="auto" w:line="360"/>
        <w:ind w:end="72"/>
        <w:jc w:val="both"/>
        <w:rPr/>
      </w:pPr>
      <w:r>
        <w:rPr/>
        <w:tab/>
        <w:t>5. Проверка на имота, предмет на покупко-продажбата: преглед на документите за собственост, извършване на необходивите справки по имота, изваждане на удостоверение за тежести.</w:t>
      </w:r>
    </w:p>
    <w:p>
      <w:pPr>
        <w:pStyle w:val="Normal"/>
        <w:spacing w:lineRule="auto" w:line="360"/>
        <w:ind w:end="72"/>
        <w:jc w:val="both"/>
        <w:rPr/>
      </w:pPr>
      <w:r>
        <w:rPr/>
        <w:tab/>
        <w:t>6. Одобрение на кредит – при сделкис кредити е необходимо подаване на молба за одобрение на кредит/от купувача/ в съответната банка и събиране на изискуемите от нея документи.</w:t>
      </w:r>
    </w:p>
    <w:p>
      <w:pPr>
        <w:pStyle w:val="Normal"/>
        <w:spacing w:lineRule="auto" w:line="360"/>
        <w:ind w:end="72"/>
        <w:jc w:val="both"/>
        <w:rPr/>
      </w:pPr>
      <w:r>
        <w:rPr/>
        <w:tab/>
        <w:t>7.Нотариално оформяне на сделката: изготвяне на проект за нотариален акт, който се съгласува със страните, юриста на агенцията, юриста на банката и нотариуса по сделката.</w:t>
      </w:r>
    </w:p>
    <w:p>
      <w:pPr>
        <w:pStyle w:val="Normal"/>
        <w:spacing w:lineRule="auto" w:line="360"/>
        <w:ind w:end="72"/>
        <w:jc w:val="both"/>
        <w:rPr/>
      </w:pPr>
      <w:r>
        <w:rPr/>
        <w:tab/>
        <w:t>8. Изповядване на сделката – подписване на нотариален акт за покупко-продажба между страните пред нотариус.</w:t>
      </w:r>
    </w:p>
    <w:p>
      <w:pPr>
        <w:pStyle w:val="Normal"/>
        <w:spacing w:lineRule="auto" w:line="360"/>
        <w:ind w:end="72"/>
        <w:jc w:val="both"/>
        <w:rPr/>
      </w:pPr>
      <w:r>
        <w:rPr/>
        <w:tab/>
        <w:t>9. Вписване на сделката в съответната Служба по вписванията.</w:t>
      </w:r>
    </w:p>
    <w:p>
      <w:pPr>
        <w:pStyle w:val="Normal"/>
        <w:spacing w:lineRule="auto" w:line="360"/>
        <w:ind w:end="72"/>
        <w:jc w:val="both"/>
        <w:rPr/>
      </w:pPr>
      <w:r>
        <w:rPr/>
        <w:tab/>
        <w:t>10. Въвод във владение – предаване на владението на новия собственик на имота.</w:t>
      </w:r>
    </w:p>
    <w:p>
      <w:pPr>
        <w:pStyle w:val="Normal"/>
        <w:spacing w:lineRule="auto" w:line="360"/>
        <w:ind w:firstLine="720" w:end="72"/>
        <w:jc w:val="both"/>
        <w:rPr/>
      </w:pPr>
      <w:r>
        <w:rPr/>
      </w:r>
    </w:p>
    <w:p>
      <w:pPr>
        <w:pStyle w:val="Normal"/>
        <w:spacing w:lineRule="auto" w:line="360"/>
        <w:rPr/>
      </w:pPr>
      <w:r>
        <w:rPr/>
      </w:r>
    </w:p>
    <w:sectPr>
      <w:footerReference w:type="default" r:id="rId9"/>
      <w:footnotePr>
        <w:numFmt w:val="decimal"/>
      </w:footnotePr>
      <w:type w:val="nextPage"/>
      <w:pgSz w:w="11906" w:h="16838"/>
      <w:pgMar w:left="1417" w:right="1417" w:gutter="0" w:header="0" w:top="1417" w:footer="72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Courier New">
    <w:charset w:val="cc" w:characterSet="windows-1251"/>
    <w:family w:val="modern"/>
    <w:pitch w:val="default"/>
  </w:font>
  <w:font w:name="Wingdings">
    <w:charset w:val="02"/>
    <w:family w:val="auto"/>
    <w:pitch w:val="variable"/>
  </w:font>
  <w:font w:name="Tahoma">
    <w:charset w:val="cc" w:characterSet="windows-1251"/>
    <w:family w:val="swiss"/>
    <w:pitch w:val="variable"/>
  </w:font>
  <w:font w:name="Liberation Sans">
    <w:altName w:val="Arial"/>
    <w:charset w:val="01" w:characterSet="utf-8"/>
    <w:family w:val="swiss"/>
    <w:pitch w:val="variable"/>
  </w:font>
  <w:font w:name="Verdana">
    <w:charset w:val="cc" w:characterSet="windows-125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0" allowOverlap="1" relativeHeight="15">
              <wp:simplePos x="0" y="0"/>
              <wp:positionH relativeFrom="margin">
                <wp:align>right</wp:align>
              </wp:positionH>
              <wp:positionV relativeFrom="paragraph">
                <wp:posOffset>635</wp:posOffset>
              </wp:positionV>
              <wp:extent cx="153035" cy="175260"/>
              <wp:effectExtent l="0" t="0" r="0" b="0"/>
              <wp:wrapSquare wrapText="bothSides"/>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p>
                </w:txbxContent>
              </v:textbox>
              <w10:wrap type="square"/>
            </v:rect>
          </w:pict>
        </mc:Fallback>
      </mc:AlternateConten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FootnoteCharacters"/>
        </w:rPr>
        <w:footnoteRef/>
      </w:r>
      <w:r>
        <w:rPr/>
        <w:t xml:space="preserve"> </w:t>
      </w:r>
      <w:r>
        <w:rPr>
          <w:rStyle w:val="c7"/>
        </w:rPr>
        <w:t>/ чл. 49, ал. 1 на ТЗ</w:t>
      </w:r>
    </w:p>
  </w:footnote>
  <w:footnote w:id="3">
    <w:p>
      <w:pPr>
        <w:pStyle w:val="FootnoteText"/>
        <w:rPr/>
      </w:pPr>
      <w:r>
        <w:rPr>
          <w:rStyle w:val="FootnoteCharacters"/>
        </w:rPr>
        <w:footnoteRef/>
      </w:r>
      <w:r>
        <w:rPr/>
        <w:t xml:space="preserve"> </w:t>
      </w:r>
      <w:r>
        <w:rPr>
          <w:rFonts w:cs="Verdana" w:ascii="Verdana" w:hAnsi="Verdana"/>
          <w:b/>
          <w:bCs/>
          <w:sz w:val="16"/>
          <w:szCs w:val="16"/>
        </w:rPr>
        <w:t xml:space="preserve">Характерно за капиталовите дружества е </w:t>
      </w:r>
      <w:r>
        <w:rPr>
          <w:rFonts w:cs="Verdana" w:ascii="Verdana" w:hAnsi="Verdana"/>
          <w:b/>
          <w:bCs/>
          <w:sz w:val="16"/>
          <w:szCs w:val="16"/>
          <w:u w:val="single"/>
        </w:rPr>
        <w:t>капитала</w:t>
      </w:r>
      <w:r>
        <w:rPr>
          <w:rFonts w:cs="Verdana" w:ascii="Verdana" w:hAnsi="Verdana"/>
          <w:b/>
          <w:bCs/>
          <w:sz w:val="16"/>
          <w:szCs w:val="16"/>
        </w:rPr>
        <w:t xml:space="preserve">. Капиталът е необходим при </w:t>
      </w:r>
      <w:r>
        <w:rPr>
          <w:rStyle w:val="Emphasis"/>
          <w:rFonts w:cs="Verdana" w:ascii="Verdana" w:hAnsi="Verdana"/>
          <w:b/>
          <w:bCs/>
          <w:sz w:val="16"/>
          <w:szCs w:val="16"/>
        </w:rPr>
        <w:t>капиталовите ТД:</w:t>
      </w:r>
      <w:r>
        <w:rPr>
          <w:rFonts w:cs="Verdana" w:ascii="Verdana" w:hAnsi="Verdana"/>
          <w:b/>
          <w:bCs/>
          <w:sz w:val="16"/>
          <w:szCs w:val="16"/>
        </w:rPr>
        <w:t xml:space="preserve"> 1) за да служи като гаранция на кредиторите и 2) за осигуряване на начални средства за дейността. Икономическият риск на съдружниците е сведен до участието им в капитала.</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abstractNum>
  <w:abstractNum w:abstractNumId="2">
    <w:lvl w:ilvl="0">
      <w:start w:val="1"/>
      <w:numFmt w:val="bullet"/>
      <w:lvlText w:val=""/>
      <w:lvlJc w:val="start"/>
      <w:pPr>
        <w:tabs>
          <w:tab w:val="num" w:pos="708"/>
        </w:tabs>
        <w:ind w:start="36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abstractNum>
  <w:abstractNum w:abstractNumId="4">
    <w:lvl w:ilvl="0">
      <w:start w:val="6"/>
      <w:numFmt w:val="bullet"/>
      <w:lvlText w:val="-"/>
      <w:lvlJc w:val="start"/>
      <w:pPr>
        <w:tabs>
          <w:tab w:val="num" w:pos="885"/>
        </w:tabs>
        <w:ind w:start="885" w:hanging="525"/>
      </w:pPr>
      <w:rPr>
        <w:rFonts w:ascii="Tahoma" w:hAnsi="Tahoma" w:cs="Tahoma" w:hint="default"/>
      </w:rPr>
    </w:lvl>
  </w:abstractNum>
  <w:abstractNum w:abstractNumId="5">
    <w:lvl w:ilvl="0">
      <w:start w:val="1"/>
      <w:numFmt w:val="bullet"/>
      <w:lvlText w:val=""/>
      <w:lvlJc w:val="start"/>
      <w:pPr>
        <w:tabs>
          <w:tab w:val="num" w:pos="900"/>
        </w:tabs>
        <w:ind w:start="900" w:hanging="360"/>
      </w:pPr>
      <w:rPr>
        <w:rFonts w:ascii="Symbol" w:hAnsi="Symbol" w:cs="Symbol" w:hint="default"/>
      </w:rPr>
    </w:lvl>
  </w:abstractNum>
  <w:abstractNum w:abstractNumId="6">
    <w:lvl w:ilvl="0">
      <w:start w:val="1"/>
      <w:numFmt w:val="bullet"/>
      <w:lvlText w:val=""/>
      <w:lvlJc w:val="start"/>
      <w:pPr>
        <w:tabs>
          <w:tab w:val="num" w:pos="708"/>
        </w:tabs>
        <w:ind w:start="360" w:hanging="360"/>
      </w:pPr>
      <w:rPr>
        <w:rFonts w:ascii="Symbol" w:hAnsi="Symbol" w:cs="Symbol" w:hint="default"/>
      </w:rPr>
    </w:lvl>
  </w:abstractNum>
  <w:abstractNum w:abstractNumId="7">
    <w:lvl w:ilvl="0">
      <w:start w:val="1"/>
      <w:numFmt w:val="bullet"/>
      <w:lvlText w:val=""/>
      <w:lvlJc w:val="start"/>
      <w:pPr>
        <w:tabs>
          <w:tab w:val="num" w:pos="360"/>
        </w:tabs>
        <w:ind w:start="360" w:hanging="360"/>
      </w:pPr>
      <w:rPr>
        <w:rFonts w:ascii="Symbol" w:hAnsi="Symbol" w:cs="Symbol" w:hint="default"/>
      </w:rPr>
    </w:lvl>
  </w:abstractNum>
  <w:abstractNum w:abstractNumId="8">
    <w:lvl w:ilvl="0">
      <w:start w:val="1"/>
      <w:numFmt w:val="bullet"/>
      <w:lvlText w:val=""/>
      <w:lvlJc w:val="start"/>
      <w:pPr>
        <w:tabs>
          <w:tab w:val="num" w:pos="708"/>
        </w:tabs>
        <w:ind w:start="720" w:hanging="360"/>
      </w:pPr>
      <w:rPr>
        <w:rFonts w:ascii="Symbol" w:hAnsi="Symbol" w:cs="Symbol" w:hint="default"/>
      </w:rPr>
    </w:lvl>
  </w:abstractNum>
  <w:abstractNum w:abstractNumId="9">
    <w:lvl w:ilvl="0">
      <w:start w:val="1"/>
      <w:numFmt w:val="bullet"/>
      <w:lvlText w:val=""/>
      <w:lvlJc w:val="start"/>
      <w:pPr>
        <w:tabs>
          <w:tab w:val="num" w:pos="1425"/>
        </w:tabs>
        <w:ind w:start="1425" w:hanging="360"/>
      </w:pPr>
      <w:rPr>
        <w:rFonts w:ascii="Symbol" w:hAnsi="Symbol" w:cs="Symbol" w:hint="default"/>
      </w:rPr>
    </w:lvl>
  </w:abstractNum>
  <w:abstractNum w:abstractNumId="10">
    <w:lvl w:ilvl="0">
      <w:start w:val="1"/>
      <w:numFmt w:val="bullet"/>
      <w:lvlText w:val=""/>
      <w:lvlJc w:val="start"/>
      <w:pPr>
        <w:tabs>
          <w:tab w:val="num" w:pos="360"/>
        </w:tabs>
        <w:ind w:start="360" w:hanging="360"/>
      </w:pPr>
      <w:rPr>
        <w:rFonts w:ascii="Symbol" w:hAnsi="Symbol" w:cs="Symbol" w:hint="default"/>
      </w:rPr>
    </w:lvl>
  </w:abstractNum>
  <w:abstractNum w:abstractNumId="11">
    <w:lvl w:ilvl="0">
      <w:start w:val="1"/>
      <w:numFmt w:val="bullet"/>
      <w:lvlText w:val=""/>
      <w:lvlJc w:val="start"/>
      <w:pPr>
        <w:tabs>
          <w:tab w:val="num" w:pos="360"/>
        </w:tabs>
        <w:ind w:start="360" w:hanging="360"/>
      </w:pPr>
      <w:rPr>
        <w:rFonts w:ascii="Symbol" w:hAnsi="Symbol" w:cs="Symbol" w:hint="default"/>
      </w:rPr>
    </w:lvl>
  </w:abstractNum>
  <w:abstractNum w:abstractNumId="12">
    <w:lvl w:ilvl="0">
      <w:start w:val="1"/>
      <w:numFmt w:val="bullet"/>
      <w:lvlText w:val=""/>
      <w:lvlJc w:val="start"/>
      <w:pPr>
        <w:tabs>
          <w:tab w:val="num" w:pos="360"/>
        </w:tabs>
        <w:ind w:start="360" w:hanging="360"/>
      </w:pPr>
      <w:rPr>
        <w:rFonts w:ascii="Symbol" w:hAnsi="Symbol" w:cs="Symbol" w:hint="default"/>
      </w:rPr>
    </w:lvl>
  </w:abstractNum>
  <w:abstractNum w:abstractNumId="13">
    <w:lvl w:ilvl="0">
      <w:start w:val="1"/>
      <w:numFmt w:val="bullet"/>
      <w:lvlText w:val=""/>
      <w:lvlJc w:val="start"/>
      <w:pPr>
        <w:tabs>
          <w:tab w:val="num" w:pos="708"/>
        </w:tabs>
        <w:ind w:start="720" w:hanging="360"/>
      </w:pPr>
      <w:rPr>
        <w:rFonts w:ascii="Symbol" w:hAnsi="Symbol" w:cs="Symbol" w:hint="default"/>
      </w:rPr>
    </w:lvl>
  </w:abstractNum>
  <w:abstractNum w:abstractNumId="1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hyphenationZone w:val="0"/>
  <w:footnotePr>
    <w:numFmt w:val="decimal"/>
    <w:footnote w:id="0"/>
    <w:footnote w:id="1"/>
  </w:footnotePr>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SimSun;宋体" w:cs="Times New Roman"/>
      <w:color w:val="auto"/>
      <w:sz w:val="24"/>
      <w:szCs w:val="24"/>
      <w:lang w:val="bg-BG" w:eastAsia="zh-CN" w:bidi="ar-SA"/>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4z0">
    <w:name w:val="WW8Num4z0"/>
    <w:qFormat/>
    <w:rPr>
      <w:rFonts w:ascii="Tahoma" w:hAnsi="Tahoma" w:eastAsia="SimSun;宋体" w:cs="Tahoma"/>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DefaultParagraphFont">
    <w:name w:val="Default Paragraph Font"/>
    <w:qFormat/>
    <w:rPr/>
  </w:style>
  <w:style w:type="character" w:styleId="Hyperlink">
    <w:name w:val="Hyperlink"/>
    <w:rPr>
      <w:color w:val="0000FF"/>
      <w:u w:val="single"/>
    </w:rPr>
  </w:style>
  <w:style w:type="character" w:styleId="FootnoteCharacters">
    <w:name w:val="Footnote Characters"/>
    <w:qFormat/>
    <w:rPr>
      <w:vertAlign w:val="superscript"/>
    </w:rPr>
  </w:style>
  <w:style w:type="character" w:styleId="Emphasis">
    <w:name w:val="Emphasis"/>
    <w:qFormat/>
    <w:rPr>
      <w:i/>
      <w:iCs/>
    </w:rPr>
  </w:style>
  <w:style w:type="character" w:styleId="c7">
    <w:name w:val="c7"/>
    <w:basedOn w:val="DefaultParagraphFont"/>
    <w:qFormat/>
    <w:rPr/>
  </w:style>
  <w:style w:type="character" w:styleId="PageNumber">
    <w:name w:val="page number"/>
    <w:basedOn w:val="DefaultParagraphFon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eb">
    <w:name w:val="Normal (Web)"/>
    <w:basedOn w:val="Normal"/>
    <w:qFormat/>
    <w:pPr>
      <w:spacing w:before="280" w:after="280"/>
    </w:pPr>
    <w:rPr/>
  </w:style>
  <w:style w:type="paragraph" w:styleId="FootnoteText">
    <w:name w:val="footnote text"/>
    <w:basedOn w:val="Normal"/>
    <w:pPr/>
    <w:rPr>
      <w:sz w:val="20"/>
      <w:szCs w:val="20"/>
    </w:rPr>
  </w:style>
  <w:style w:type="paragraph" w:styleId="westernc4">
    <w:name w:val="western c4"/>
    <w:basedOn w:val="Normal"/>
    <w:qFormat/>
    <w:pPr>
      <w:spacing w:before="280" w:after="280"/>
    </w:pPr>
    <w:rPr/>
  </w:style>
  <w:style w:type="paragraph" w:styleId="westernc6">
    <w:name w:val="western c6"/>
    <w:basedOn w:val="Normal"/>
    <w:qFormat/>
    <w:pPr>
      <w:spacing w:before="280" w:after="280"/>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eferati.org/neobhodimost-i-pravna-reglamentaciq-na-tyrgovskoto-predstavitelstvo-i-posrednichestvo/59929/ref/p16" TargetMode="External"/><Relationship Id="rId3" Type="http://schemas.openxmlformats.org/officeDocument/2006/relationships/hyperlink" Target="http://www.referati.org/" TargetMode="External"/><Relationship Id="rId4" Type="http://schemas.openxmlformats.org/officeDocument/2006/relationships/hyperlink" Target="http://www.referati.org/neobhodimost-i-pravna-reglamentaciq-na-tyrgovskoto-predstavitelstvo-i-posrednichestvo/59929/ref/p16" TargetMode="External"/><Relationship Id="rId5" Type="http://schemas.openxmlformats.org/officeDocument/2006/relationships/hyperlink" Target="http://www.referati.org/neobhodimost-i-pravna-reglamentaciq-na-tyrgovskoto-predstavitelstvo-i-posrednichestvo/59929/ref/p16" TargetMode="External"/><Relationship Id="rId6" Type="http://schemas.openxmlformats.org/officeDocument/2006/relationships/hyperlink" Target="http://www.referati.org/neobhodimost-i-pravna-reglamentaciq-na-tyrgovskoto-predstavitelstvo-i-posrednichestvo/59929/ref/p16" TargetMode="External"/><Relationship Id="rId7" Type="http://schemas.openxmlformats.org/officeDocument/2006/relationships/hyperlink" Target="http://www.referati.org/neobhodimost-i-pravna-reglamentaciq-na-tyrgovskoto-predstavitelstvo-i-posrednichestvo/59929/ref/p17" TargetMode="External"/><Relationship Id="rId8" Type="http://schemas.openxmlformats.org/officeDocument/2006/relationships/hyperlink" Target="http://www.referati.org/neobhodimost-i-pravna-reglamentaciq-na-tyrgovskoto-predstavitelstvo-i-posrednichestvo/59929/ref/p17" TargetMode="External"/><Relationship Id="rId9" Type="http://schemas.openxmlformats.org/officeDocument/2006/relationships/footer" Target="footer1.xml"/><Relationship Id="rId10" Type="http://schemas.openxmlformats.org/officeDocument/2006/relationships/footnotes" Target="footnote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LibreOffice/25.2.2.2$Linux_X86_64 LibreOffice_project/520$Build-2</Application>
  <AppVersion>15.0000</AppVersion>
  <Pages>14</Pages>
  <Words>4048</Words>
  <Characters>23718</Characters>
  <CharactersWithSpaces>27813</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2017-03-04T20:50:00Z</dcterms:created>
  <dc:creator>vesa</dc:creator>
  <dc:description/>
  <dc:language>en-US</dc:language>
  <cp:lastModifiedBy>User</cp:lastModifiedBy>
  <dcterms:modified xsi:type="dcterms:W3CDTF">2017-03-04T20:50:00Z</dcterms:modified>
  <cp:revision>2</cp:revision>
  <dc:subject/>
  <dc:title>Тема 2</dc:title>
</cp:coreProperties>
</file>